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63" w:rsidRPr="002C6CCA" w:rsidRDefault="00470E63" w:rsidP="00470E63">
      <w:pPr>
        <w:jc w:val="center"/>
        <w:rPr>
          <w:sz w:val="28"/>
          <w:szCs w:val="28"/>
        </w:rPr>
      </w:pPr>
      <w:r w:rsidRPr="002C6CCA">
        <w:rPr>
          <w:sz w:val="28"/>
          <w:szCs w:val="28"/>
        </w:rPr>
        <w:t xml:space="preserve">CITY OF IRVINE STANDARD NOTES </w:t>
      </w:r>
    </w:p>
    <w:p w:rsidR="00470E63" w:rsidRPr="002C6CCA" w:rsidRDefault="00470E63" w:rsidP="00184B42">
      <w:pPr>
        <w:jc w:val="center"/>
        <w:rPr>
          <w:sz w:val="28"/>
          <w:szCs w:val="28"/>
        </w:rPr>
      </w:pPr>
      <w:r w:rsidRPr="002C6CCA">
        <w:rPr>
          <w:sz w:val="28"/>
          <w:szCs w:val="28"/>
        </w:rPr>
        <w:t>NON-RESIDENTIAL CONSTRUCTION</w:t>
      </w:r>
      <w:r w:rsidR="00184B42" w:rsidRPr="002C6CCA">
        <w:rPr>
          <w:sz w:val="28"/>
          <w:szCs w:val="28"/>
        </w:rPr>
        <w:t xml:space="preserve"> </w:t>
      </w:r>
      <w:r w:rsidRPr="002C6CCA">
        <w:rPr>
          <w:sz w:val="28"/>
          <w:szCs w:val="28"/>
        </w:rPr>
        <w:t>201</w:t>
      </w:r>
      <w:r w:rsidR="004550FD">
        <w:rPr>
          <w:sz w:val="28"/>
          <w:szCs w:val="28"/>
        </w:rPr>
        <w:t>3</w:t>
      </w:r>
      <w:r w:rsidRPr="002C6CCA">
        <w:rPr>
          <w:sz w:val="28"/>
          <w:szCs w:val="28"/>
        </w:rPr>
        <w:t xml:space="preserve"> CALIFORNIA</w:t>
      </w:r>
      <w:r w:rsidR="006B664A" w:rsidRPr="002C6CCA">
        <w:rPr>
          <w:sz w:val="28"/>
          <w:szCs w:val="28"/>
        </w:rPr>
        <w:t xml:space="preserve"> GREEN BUILDING STANDARD</w:t>
      </w:r>
      <w:r w:rsidR="00184B42" w:rsidRPr="002C6CCA">
        <w:rPr>
          <w:sz w:val="28"/>
          <w:szCs w:val="28"/>
        </w:rPr>
        <w:t xml:space="preserve">S </w:t>
      </w:r>
      <w:r w:rsidR="006B664A" w:rsidRPr="002C6CCA">
        <w:rPr>
          <w:sz w:val="28"/>
          <w:szCs w:val="28"/>
        </w:rPr>
        <w:t>(</w:t>
      </w:r>
      <w:r w:rsidR="004550FD">
        <w:rPr>
          <w:sz w:val="28"/>
          <w:szCs w:val="28"/>
        </w:rPr>
        <w:t>1.0</w:t>
      </w:r>
      <w:r w:rsidRPr="002C6CCA">
        <w:rPr>
          <w:sz w:val="28"/>
          <w:szCs w:val="28"/>
        </w:rPr>
        <w:t>)</w:t>
      </w:r>
    </w:p>
    <w:p w:rsidR="00470E63" w:rsidRPr="002C6CCA" w:rsidRDefault="00470E63" w:rsidP="0032084F">
      <w:pPr>
        <w:rPr>
          <w:sz w:val="28"/>
          <w:szCs w:val="28"/>
        </w:rPr>
      </w:pPr>
    </w:p>
    <w:p w:rsidR="0032084F" w:rsidRPr="002C6CCA" w:rsidRDefault="00570AA3" w:rsidP="0032084F">
      <w:r w:rsidRPr="002C6CCA">
        <w:rPr>
          <w:sz w:val="28"/>
          <w:szCs w:val="28"/>
        </w:rPr>
        <w:t xml:space="preserve">Applies to </w:t>
      </w:r>
      <w:r w:rsidR="00AE1231" w:rsidRPr="002C6CCA">
        <w:rPr>
          <w:b/>
          <w:i/>
          <w:sz w:val="28"/>
          <w:szCs w:val="28"/>
        </w:rPr>
        <w:t>N</w:t>
      </w:r>
      <w:r w:rsidRPr="002C6CCA">
        <w:rPr>
          <w:b/>
          <w:i/>
          <w:sz w:val="28"/>
          <w:szCs w:val="28"/>
        </w:rPr>
        <w:t>ew</w:t>
      </w:r>
      <w:r w:rsidR="00CD33F5" w:rsidRPr="002C6CCA">
        <w:rPr>
          <w:b/>
          <w:i/>
          <w:sz w:val="28"/>
          <w:szCs w:val="28"/>
        </w:rPr>
        <w:t>ly</w:t>
      </w:r>
      <w:r w:rsidR="00AE1231" w:rsidRPr="002C6CCA">
        <w:rPr>
          <w:b/>
          <w:i/>
          <w:sz w:val="28"/>
          <w:szCs w:val="28"/>
        </w:rPr>
        <w:t xml:space="preserve"> C</w:t>
      </w:r>
      <w:r w:rsidR="00CD33F5" w:rsidRPr="002C6CCA">
        <w:rPr>
          <w:b/>
          <w:i/>
          <w:sz w:val="28"/>
          <w:szCs w:val="28"/>
        </w:rPr>
        <w:t>onstructed</w:t>
      </w:r>
      <w:r w:rsidRPr="002C6CCA">
        <w:rPr>
          <w:b/>
          <w:i/>
          <w:sz w:val="28"/>
          <w:szCs w:val="28"/>
        </w:rPr>
        <w:t xml:space="preserve"> </w:t>
      </w:r>
      <w:r w:rsidR="00CD33F5" w:rsidRPr="002C6CCA">
        <w:rPr>
          <w:b/>
          <w:i/>
          <w:sz w:val="28"/>
          <w:szCs w:val="28"/>
        </w:rPr>
        <w:t>Non-residential Buildings</w:t>
      </w:r>
      <w:r w:rsidR="00696A3F" w:rsidRPr="002C6CCA">
        <w:rPr>
          <w:b/>
          <w:i/>
          <w:sz w:val="28"/>
          <w:szCs w:val="28"/>
        </w:rPr>
        <w:t xml:space="preserve"> and associated site development,</w:t>
      </w:r>
      <w:r w:rsidR="00CD33F5" w:rsidRPr="002C6CCA">
        <w:rPr>
          <w:b/>
          <w:i/>
          <w:sz w:val="28"/>
          <w:szCs w:val="28"/>
        </w:rPr>
        <w:t xml:space="preserve"> </w:t>
      </w:r>
      <w:r w:rsidR="00184B42" w:rsidRPr="002C6CCA">
        <w:rPr>
          <w:b/>
          <w:i/>
          <w:sz w:val="28"/>
          <w:szCs w:val="28"/>
          <w:u w:val="single"/>
        </w:rPr>
        <w:t>initial</w:t>
      </w:r>
      <w:r w:rsidR="00184B42" w:rsidRPr="002C6CCA">
        <w:rPr>
          <w:b/>
          <w:i/>
          <w:sz w:val="28"/>
          <w:szCs w:val="28"/>
        </w:rPr>
        <w:t xml:space="preserve"> tenant improvements</w:t>
      </w:r>
      <w:r w:rsidR="00241F8D">
        <w:rPr>
          <w:b/>
          <w:i/>
          <w:sz w:val="28"/>
          <w:szCs w:val="28"/>
        </w:rPr>
        <w:t xml:space="preserve"> regardless</w:t>
      </w:r>
      <w:r w:rsidR="00082F00">
        <w:rPr>
          <w:b/>
          <w:i/>
          <w:sz w:val="28"/>
          <w:szCs w:val="28"/>
        </w:rPr>
        <w:t xml:space="preserve"> of valuation</w:t>
      </w:r>
      <w:r w:rsidR="00696A3F" w:rsidRPr="002C6CCA">
        <w:rPr>
          <w:b/>
          <w:i/>
          <w:sz w:val="28"/>
          <w:szCs w:val="28"/>
        </w:rPr>
        <w:t>,</w:t>
      </w:r>
      <w:r w:rsidR="00184B42" w:rsidRPr="002C6CCA">
        <w:rPr>
          <w:sz w:val="28"/>
          <w:szCs w:val="28"/>
        </w:rPr>
        <w:t xml:space="preserve"> </w:t>
      </w:r>
      <w:r w:rsidR="00CD33F5" w:rsidRPr="002C6CCA">
        <w:rPr>
          <w:b/>
          <w:i/>
          <w:sz w:val="28"/>
          <w:szCs w:val="28"/>
        </w:rPr>
        <w:t>and any subsequent</w:t>
      </w:r>
      <w:r w:rsidR="00696A3F" w:rsidRPr="002C6CCA">
        <w:rPr>
          <w:b/>
          <w:i/>
          <w:sz w:val="28"/>
          <w:szCs w:val="28"/>
        </w:rPr>
        <w:t xml:space="preserve"> addition of </w:t>
      </w:r>
      <w:r w:rsidR="00241F8D">
        <w:rPr>
          <w:b/>
          <w:i/>
          <w:sz w:val="28"/>
          <w:szCs w:val="28"/>
        </w:rPr>
        <w:t>1</w:t>
      </w:r>
      <w:r w:rsidR="00696A3F" w:rsidRPr="002C6CCA">
        <w:rPr>
          <w:b/>
          <w:i/>
          <w:sz w:val="28"/>
          <w:szCs w:val="28"/>
        </w:rPr>
        <w:t>,000 square feet or more, or</w:t>
      </w:r>
      <w:r w:rsidR="00184B42" w:rsidRPr="002C6CCA">
        <w:rPr>
          <w:b/>
          <w:i/>
          <w:sz w:val="28"/>
          <w:szCs w:val="28"/>
        </w:rPr>
        <w:t xml:space="preserve"> tenant improvement having a valuation of</w:t>
      </w:r>
      <w:r w:rsidR="00696A3F" w:rsidRPr="002C6CCA">
        <w:rPr>
          <w:b/>
          <w:i/>
          <w:sz w:val="28"/>
          <w:szCs w:val="28"/>
        </w:rPr>
        <w:t xml:space="preserve"> $</w:t>
      </w:r>
      <w:r w:rsidR="00241F8D">
        <w:rPr>
          <w:b/>
          <w:i/>
          <w:sz w:val="28"/>
          <w:szCs w:val="28"/>
        </w:rPr>
        <w:t>2</w:t>
      </w:r>
      <w:r w:rsidR="00696A3F" w:rsidRPr="002C6CCA">
        <w:rPr>
          <w:b/>
          <w:i/>
          <w:sz w:val="28"/>
          <w:szCs w:val="28"/>
        </w:rPr>
        <w:t>00,000 and associated site development</w:t>
      </w:r>
      <w:r w:rsidR="00CD33F5" w:rsidRPr="002C6CCA">
        <w:rPr>
          <w:b/>
          <w:i/>
          <w:sz w:val="28"/>
          <w:szCs w:val="28"/>
        </w:rPr>
        <w:t xml:space="preserve"> </w:t>
      </w:r>
      <w:r w:rsidRPr="002C6CCA">
        <w:rPr>
          <w:sz w:val="28"/>
          <w:szCs w:val="28"/>
        </w:rPr>
        <w:t xml:space="preserve">for which permit application is made on or after </w:t>
      </w:r>
      <w:r w:rsidR="00241F8D">
        <w:rPr>
          <w:sz w:val="28"/>
          <w:szCs w:val="28"/>
        </w:rPr>
        <w:t>January</w:t>
      </w:r>
      <w:r w:rsidR="00184B42" w:rsidRPr="002C6CCA">
        <w:rPr>
          <w:sz w:val="28"/>
          <w:szCs w:val="28"/>
        </w:rPr>
        <w:t xml:space="preserve"> 1</w:t>
      </w:r>
      <w:r w:rsidRPr="002C6CCA">
        <w:rPr>
          <w:sz w:val="28"/>
          <w:szCs w:val="28"/>
        </w:rPr>
        <w:t>, 201</w:t>
      </w:r>
      <w:r w:rsidR="00241F8D">
        <w:rPr>
          <w:sz w:val="28"/>
          <w:szCs w:val="28"/>
        </w:rPr>
        <w:t>4</w:t>
      </w:r>
      <w:r w:rsidR="002D753F">
        <w:rPr>
          <w:sz w:val="28"/>
          <w:szCs w:val="28"/>
        </w:rPr>
        <w:t>.</w:t>
      </w:r>
      <w:r w:rsidRPr="002C6CCA">
        <w:rPr>
          <w:sz w:val="28"/>
          <w:szCs w:val="28"/>
        </w:rPr>
        <w:t xml:space="preserve"> </w:t>
      </w:r>
      <w:r w:rsidR="002D753F">
        <w:rPr>
          <w:sz w:val="28"/>
          <w:szCs w:val="28"/>
        </w:rPr>
        <w:t>T</w:t>
      </w:r>
      <w:r w:rsidRPr="002C6CCA">
        <w:rPr>
          <w:sz w:val="28"/>
          <w:szCs w:val="28"/>
        </w:rPr>
        <w:t>h</w:t>
      </w:r>
      <w:r w:rsidR="007C451D" w:rsidRPr="002C6CCA">
        <w:rPr>
          <w:sz w:val="28"/>
          <w:szCs w:val="28"/>
        </w:rPr>
        <w:t>e following standard notes shall be</w:t>
      </w:r>
      <w:r w:rsidR="001F18CE" w:rsidRPr="002C6CCA">
        <w:rPr>
          <w:sz w:val="28"/>
          <w:szCs w:val="28"/>
        </w:rPr>
        <w:t xml:space="preserve"> completed and </w:t>
      </w:r>
      <w:r w:rsidR="007C451D" w:rsidRPr="002C6CCA">
        <w:rPr>
          <w:sz w:val="28"/>
          <w:szCs w:val="28"/>
        </w:rPr>
        <w:t>incorporated into the approved plans and all effected design features and specifications shall be made to conform</w:t>
      </w:r>
      <w:r w:rsidRPr="002C6CCA">
        <w:rPr>
          <w:sz w:val="28"/>
          <w:szCs w:val="28"/>
        </w:rPr>
        <w:t>.</w:t>
      </w:r>
      <w:r w:rsidR="007C451D" w:rsidRPr="002C6CCA">
        <w:rPr>
          <w:sz w:val="28"/>
          <w:szCs w:val="28"/>
        </w:rPr>
        <w:t xml:space="preserve"> </w:t>
      </w:r>
    </w:p>
    <w:p w:rsidR="002771CB" w:rsidRPr="002C6CCA" w:rsidRDefault="002771CB" w:rsidP="0032084F">
      <w:pPr>
        <w:autoSpaceDE w:val="0"/>
        <w:autoSpaceDN w:val="0"/>
        <w:adjustRightInd w:val="0"/>
        <w:rPr>
          <w:b/>
          <w:bCs/>
        </w:rPr>
      </w:pPr>
    </w:p>
    <w:p w:rsidR="00AE1231" w:rsidRPr="002C6CCA" w:rsidRDefault="00EC08F5" w:rsidP="001C59F4">
      <w:pPr>
        <w:rPr>
          <w:i/>
          <w:sz w:val="28"/>
          <w:szCs w:val="28"/>
        </w:rPr>
      </w:pPr>
      <w:r w:rsidRPr="002C6CCA">
        <w:rPr>
          <w:i/>
          <w:sz w:val="28"/>
          <w:szCs w:val="28"/>
        </w:rPr>
        <w:t xml:space="preserve"> </w:t>
      </w:r>
      <w:r w:rsidR="006F7CC4" w:rsidRPr="002C6CCA">
        <w:rPr>
          <w:i/>
          <w:sz w:val="28"/>
          <w:szCs w:val="28"/>
        </w:rPr>
        <w:t>(In</w:t>
      </w:r>
      <w:r w:rsidR="001C59F4">
        <w:rPr>
          <w:i/>
          <w:sz w:val="28"/>
          <w:szCs w:val="28"/>
        </w:rPr>
        <w:t xml:space="preserve">structions: Designer to place </w:t>
      </w:r>
      <w:r w:rsidR="00C117A1" w:rsidRPr="002C6CCA">
        <w:rPr>
          <w:i/>
          <w:sz w:val="28"/>
          <w:szCs w:val="28"/>
        </w:rPr>
        <w:t xml:space="preserve">an </w:t>
      </w:r>
      <w:r w:rsidR="00C117A1" w:rsidRPr="002C6CCA">
        <w:rPr>
          <w:b/>
          <w:sz w:val="28"/>
          <w:szCs w:val="28"/>
        </w:rPr>
        <w:t>X</w:t>
      </w:r>
      <w:r w:rsidR="00C117A1" w:rsidRPr="002C6CCA">
        <w:rPr>
          <w:i/>
          <w:sz w:val="28"/>
          <w:szCs w:val="28"/>
        </w:rPr>
        <w:t xml:space="preserve"> preceding</w:t>
      </w:r>
      <w:r w:rsidR="006F7CC4" w:rsidRPr="002C6CCA">
        <w:rPr>
          <w:i/>
          <w:sz w:val="28"/>
          <w:szCs w:val="28"/>
        </w:rPr>
        <w:t xml:space="preserve"> each applicable section and complete the notes or indicate </w:t>
      </w:r>
      <w:r w:rsidR="006F7CC4" w:rsidRPr="002C6CCA">
        <w:rPr>
          <w:b/>
          <w:sz w:val="28"/>
          <w:szCs w:val="28"/>
        </w:rPr>
        <w:t>N/A</w:t>
      </w:r>
      <w:r w:rsidR="006F7CC4" w:rsidRPr="002C6CCA">
        <w:rPr>
          <w:i/>
          <w:sz w:val="28"/>
          <w:szCs w:val="28"/>
        </w:rPr>
        <w:t xml:space="preserve"> if not applicable. Building plan check shall be responsible for verification except for those items preceded by a </w:t>
      </w:r>
      <w:r w:rsidR="006F7CC4" w:rsidRPr="002C6CCA">
        <w:rPr>
          <w:b/>
          <w:sz w:val="28"/>
          <w:szCs w:val="28"/>
        </w:rPr>
        <w:t>[P]</w:t>
      </w:r>
      <w:r w:rsidR="006F7CC4" w:rsidRPr="002C6CCA">
        <w:rPr>
          <w:i/>
          <w:sz w:val="28"/>
          <w:szCs w:val="28"/>
        </w:rPr>
        <w:t xml:space="preserve"> which will be verified by Planning.</w:t>
      </w:r>
      <w:r w:rsidR="00272975">
        <w:rPr>
          <w:i/>
          <w:sz w:val="28"/>
          <w:szCs w:val="28"/>
        </w:rPr>
        <w:t xml:space="preserve"> </w:t>
      </w:r>
      <w:r w:rsidR="00272975" w:rsidRPr="00272975">
        <w:rPr>
          <w:i/>
          <w:sz w:val="28"/>
        </w:rPr>
        <w:t xml:space="preserve">All provisions generally apply to new construction and additions of 1,000 square feet or more or tenant improvements having a valuation of $200,000. An </w:t>
      </w:r>
      <w:r w:rsidR="00272975" w:rsidRPr="00272975">
        <w:rPr>
          <w:b/>
          <w:i/>
          <w:sz w:val="28"/>
        </w:rPr>
        <w:t>[N]</w:t>
      </w:r>
      <w:r w:rsidR="00272975" w:rsidRPr="00272975">
        <w:rPr>
          <w:i/>
          <w:sz w:val="28"/>
        </w:rPr>
        <w:t xml:space="preserve">, however, indicates a provision applies only to new construction, an </w:t>
      </w:r>
      <w:r w:rsidR="00272975" w:rsidRPr="00272975">
        <w:rPr>
          <w:b/>
          <w:i/>
          <w:sz w:val="28"/>
        </w:rPr>
        <w:t>[E]</w:t>
      </w:r>
      <w:r w:rsidR="00272975" w:rsidRPr="00272975">
        <w:rPr>
          <w:i/>
          <w:sz w:val="28"/>
        </w:rPr>
        <w:t xml:space="preserve"> indicates additional qualifiers for the provision to apply to an addition or tenant improvement</w:t>
      </w:r>
      <w:r w:rsidR="002D753F">
        <w:rPr>
          <w:i/>
          <w:sz w:val="28"/>
        </w:rPr>
        <w:t>.</w:t>
      </w:r>
      <w:r w:rsidR="002D753F">
        <w:rPr>
          <w:i/>
          <w:sz w:val="28"/>
          <w:szCs w:val="28"/>
        </w:rPr>
        <w:t>)</w:t>
      </w:r>
    </w:p>
    <w:p w:rsidR="006F7CC4" w:rsidRPr="002C6CCA" w:rsidRDefault="006F7CC4" w:rsidP="0032084F">
      <w:pPr>
        <w:autoSpaceDE w:val="0"/>
        <w:autoSpaceDN w:val="0"/>
        <w:adjustRightInd w:val="0"/>
        <w:rPr>
          <w:bCs/>
        </w:rPr>
      </w:pPr>
    </w:p>
    <w:p w:rsidR="00BD3627" w:rsidRPr="002C6CCA" w:rsidRDefault="00BD3627" w:rsidP="00BD3627">
      <w:pPr>
        <w:autoSpaceDE w:val="0"/>
        <w:autoSpaceDN w:val="0"/>
        <w:adjustRightInd w:val="0"/>
        <w:rPr>
          <w:b/>
          <w:bCs/>
        </w:rPr>
      </w:pPr>
      <w:r w:rsidRPr="002C6CCA">
        <w:rPr>
          <w:b/>
          <w:bCs/>
          <w:sz w:val="20"/>
          <w:szCs w:val="20"/>
        </w:rPr>
        <w:t>PARKING AND CHANGING ROOMS</w:t>
      </w:r>
      <w:r w:rsidRPr="002C6CCA">
        <w:rPr>
          <w:bCs/>
          <w:sz w:val="20"/>
          <w:szCs w:val="20"/>
        </w:rPr>
        <w:t xml:space="preserve"> (CGBSC 5.106.4</w:t>
      </w:r>
      <w:r w:rsidRPr="002C6CCA">
        <w:rPr>
          <w:b/>
          <w:bCs/>
        </w:rPr>
        <w:t>)</w:t>
      </w:r>
    </w:p>
    <w:p w:rsidR="00272975" w:rsidRDefault="00272975" w:rsidP="00755BC8">
      <w:pPr>
        <w:autoSpaceDE w:val="0"/>
        <w:autoSpaceDN w:val="0"/>
        <w:adjustRightInd w:val="0"/>
        <w:spacing w:after="40"/>
        <w:rPr>
          <w:bCs/>
          <w:sz w:val="22"/>
          <w:szCs w:val="22"/>
        </w:rPr>
      </w:pPr>
      <w:r w:rsidRPr="00C77A9C">
        <w:rPr>
          <w:b/>
        </w:rPr>
        <w:t>[E]</w:t>
      </w:r>
      <w:r w:rsidRPr="00720FF7">
        <w:t xml:space="preserve"> </w:t>
      </w:r>
      <w:r>
        <w:t>Short term bicycle parking applies to</w:t>
      </w:r>
      <w:r w:rsidRPr="00720FF7">
        <w:t xml:space="preserve"> existing facilities if the project is expected to generate visitor traffic and adds 10 or more vehicular parking spaces.</w:t>
      </w:r>
    </w:p>
    <w:p w:rsidR="00EC5850" w:rsidRPr="002C6CCA" w:rsidRDefault="00BD3627" w:rsidP="00755BC8">
      <w:pPr>
        <w:autoSpaceDE w:val="0"/>
        <w:autoSpaceDN w:val="0"/>
        <w:adjustRightInd w:val="0"/>
        <w:spacing w:after="40"/>
        <w:rPr>
          <w:bCs/>
          <w:sz w:val="22"/>
          <w:szCs w:val="22"/>
        </w:rPr>
      </w:pPr>
      <w:r w:rsidRPr="002C6CCA">
        <w:rPr>
          <w:bCs/>
          <w:sz w:val="22"/>
          <w:szCs w:val="22"/>
        </w:rPr>
        <w:t>Check the appropriate box and provide complete input for each selection as applicable:</w:t>
      </w:r>
    </w:p>
    <w:bookmarkStart w:id="0" w:name="_GoBack"/>
    <w:p w:rsidR="002C7DF1" w:rsidRDefault="006A055D" w:rsidP="006F7CC4">
      <w:pPr>
        <w:autoSpaceDE w:val="0"/>
        <w:autoSpaceDN w:val="0"/>
        <w:adjustRightInd w:val="0"/>
        <w:ind w:left="720" w:hanging="720"/>
        <w:rPr>
          <w:bCs/>
        </w:rPr>
      </w:pPr>
      <w:r w:rsidRPr="002C6CCA">
        <w:rPr>
          <w:b/>
          <w:bCs/>
          <w:sz w:val="20"/>
          <w:szCs w:val="20"/>
          <w:u w:val="single"/>
        </w:rPr>
        <w:fldChar w:fldCharType="begin">
          <w:ffData>
            <w:name w:val=""/>
            <w:enabled/>
            <w:calcOnExit w:val="0"/>
            <w:ddList>
              <w:listEntry w:val="      "/>
              <w:listEntry w:val=" X "/>
              <w:listEntry w:val="N/A"/>
            </w:ddList>
          </w:ffData>
        </w:fldChar>
      </w:r>
      <w:r w:rsidRPr="002C6CCA">
        <w:rPr>
          <w:b/>
          <w:bCs/>
          <w:sz w:val="20"/>
          <w:szCs w:val="20"/>
          <w:u w:val="single"/>
        </w:rPr>
        <w:instrText xml:space="preserve"> FORMDROPDOWN </w:instrText>
      </w:r>
      <w:r w:rsidRPr="002C6CCA">
        <w:rPr>
          <w:b/>
          <w:bCs/>
          <w:sz w:val="20"/>
          <w:szCs w:val="20"/>
          <w:u w:val="single"/>
        </w:rPr>
      </w:r>
      <w:r w:rsidRPr="002C6CCA">
        <w:rPr>
          <w:b/>
          <w:bCs/>
          <w:sz w:val="20"/>
          <w:szCs w:val="20"/>
          <w:u w:val="single"/>
        </w:rPr>
        <w:fldChar w:fldCharType="end"/>
      </w:r>
      <w:bookmarkEnd w:id="0"/>
      <w:r w:rsidR="00FA1B5A" w:rsidRPr="002C6CCA">
        <w:rPr>
          <w:bCs/>
        </w:rPr>
        <w:tab/>
      </w:r>
      <w:r w:rsidR="00470E63" w:rsidRPr="002C6CCA">
        <w:rPr>
          <w:b/>
          <w:bCs/>
        </w:rPr>
        <w:t xml:space="preserve">[P] </w:t>
      </w:r>
      <w:r w:rsidR="00470E63" w:rsidRPr="002C6CCA">
        <w:rPr>
          <w:bCs/>
        </w:rPr>
        <w:t>Short-term bicycle parking (b</w:t>
      </w:r>
      <w:r w:rsidR="00FA1B5A" w:rsidRPr="002C6CCA">
        <w:rPr>
          <w:bCs/>
        </w:rPr>
        <w:t>icycle racks</w:t>
      </w:r>
      <w:r w:rsidR="00470E63" w:rsidRPr="002C6CCA">
        <w:rPr>
          <w:bCs/>
        </w:rPr>
        <w:t>)</w:t>
      </w:r>
      <w:r w:rsidR="00FA1B5A" w:rsidRPr="002C6CCA">
        <w:rPr>
          <w:bCs/>
        </w:rPr>
        <w:t xml:space="preserve"> are provided to accommodate anticipated visitor traffic</w:t>
      </w:r>
      <w:r w:rsidR="00874DC1" w:rsidRPr="002C6CCA">
        <w:rPr>
          <w:bCs/>
        </w:rPr>
        <w:t xml:space="preserve">. The total number provided </w:t>
      </w:r>
      <w:r w:rsidR="004D52BB" w:rsidRPr="002C6CCA">
        <w:rPr>
          <w:bCs/>
        </w:rPr>
        <w:t>is</w:t>
      </w:r>
      <w:r w:rsidR="00FA1B5A" w:rsidRPr="002C6CCA">
        <w:rPr>
          <w:bCs/>
        </w:rPr>
        <w:t>:</w:t>
      </w:r>
      <w:r w:rsidR="002F460A" w:rsidRPr="002C6CCA">
        <w:rPr>
          <w:bCs/>
        </w:rPr>
        <w:t xml:space="preserve"> </w:t>
      </w:r>
      <w:r w:rsidR="00252F7D" w:rsidRPr="002C6CCA">
        <w:rPr>
          <w:b/>
          <w:bCs/>
          <w:u w:val="single"/>
        </w:rPr>
        <w:fldChar w:fldCharType="begin">
          <w:ffData>
            <w:name w:val=""/>
            <w:enabled/>
            <w:calcOnExit w:val="0"/>
            <w:textInput>
              <w:maxLength w:val="6"/>
            </w:textInput>
          </w:ffData>
        </w:fldChar>
      </w:r>
      <w:r w:rsidR="00252F7D" w:rsidRPr="002C6CCA">
        <w:rPr>
          <w:b/>
          <w:bCs/>
          <w:u w:val="single"/>
        </w:rPr>
        <w:instrText xml:space="preserve"> FORMTEXT </w:instrText>
      </w:r>
      <w:r w:rsidR="00612F87" w:rsidRPr="002C6CCA">
        <w:rPr>
          <w:b/>
          <w:bCs/>
          <w:u w:val="single"/>
        </w:rPr>
      </w:r>
      <w:r w:rsidR="00252F7D" w:rsidRPr="002C6CCA">
        <w:rPr>
          <w:b/>
          <w:bCs/>
          <w:u w:val="single"/>
        </w:rPr>
        <w:fldChar w:fldCharType="separate"/>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u w:val="single"/>
        </w:rPr>
        <w:fldChar w:fldCharType="end"/>
      </w:r>
      <w:r w:rsidR="00FA1B5A" w:rsidRPr="002C6CCA">
        <w:rPr>
          <w:bCs/>
        </w:rPr>
        <w:t xml:space="preserve">. These racks are located within </w:t>
      </w:r>
      <w:r w:rsidR="00080F82" w:rsidRPr="002C6CCA">
        <w:rPr>
          <w:bCs/>
        </w:rPr>
        <w:t>200</w:t>
      </w:r>
      <w:r w:rsidR="00FA1B5A" w:rsidRPr="002C6CCA">
        <w:rPr>
          <w:bCs/>
        </w:rPr>
        <w:t xml:space="preserve"> feet of the visitor’s entrance as depicted on plan sheet:</w:t>
      </w:r>
      <w:bookmarkStart w:id="1" w:name="Text1"/>
      <w:r w:rsidR="00B478F7" w:rsidRPr="002C6CCA">
        <w:rPr>
          <w:bCs/>
        </w:rPr>
        <w:t xml:space="preserve"> </w:t>
      </w:r>
      <w:bookmarkEnd w:id="1"/>
      <w:r w:rsidR="00252F7D" w:rsidRPr="002C6CCA">
        <w:rPr>
          <w:b/>
          <w:bCs/>
          <w:u w:val="single"/>
        </w:rPr>
        <w:fldChar w:fldCharType="begin">
          <w:ffData>
            <w:name w:val=""/>
            <w:enabled/>
            <w:calcOnExit w:val="0"/>
            <w:textInput>
              <w:maxLength w:val="12"/>
            </w:textInput>
          </w:ffData>
        </w:fldChar>
      </w:r>
      <w:r w:rsidR="00252F7D" w:rsidRPr="002C6CCA">
        <w:rPr>
          <w:b/>
          <w:bCs/>
          <w:u w:val="single"/>
        </w:rPr>
        <w:instrText xml:space="preserve"> FORMTEXT </w:instrText>
      </w:r>
      <w:r w:rsidR="00612F87" w:rsidRPr="002C6CCA">
        <w:rPr>
          <w:b/>
          <w:bCs/>
          <w:u w:val="single"/>
        </w:rPr>
      </w:r>
      <w:r w:rsidR="00252F7D" w:rsidRPr="002C6CCA">
        <w:rPr>
          <w:b/>
          <w:bCs/>
          <w:u w:val="single"/>
        </w:rPr>
        <w:fldChar w:fldCharType="separate"/>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noProof/>
          <w:u w:val="single"/>
        </w:rPr>
        <w:t> </w:t>
      </w:r>
      <w:r w:rsidR="00252F7D" w:rsidRPr="002C6CCA">
        <w:rPr>
          <w:b/>
          <w:bCs/>
          <w:u w:val="single"/>
        </w:rPr>
        <w:fldChar w:fldCharType="end"/>
      </w:r>
      <w:r w:rsidR="00FA1B5A" w:rsidRPr="002C6CCA">
        <w:rPr>
          <w:bCs/>
        </w:rPr>
        <w:t xml:space="preserve">. </w:t>
      </w:r>
    </w:p>
    <w:p w:rsidR="00272975" w:rsidRPr="002C6CCA" w:rsidRDefault="00272975" w:rsidP="008450B3">
      <w:pPr>
        <w:autoSpaceDE w:val="0"/>
        <w:autoSpaceDN w:val="0"/>
        <w:adjustRightInd w:val="0"/>
        <w:rPr>
          <w:bCs/>
        </w:rPr>
      </w:pPr>
      <w:r w:rsidRPr="00C77A9C">
        <w:rPr>
          <w:b/>
        </w:rPr>
        <w:t>[E]</w:t>
      </w:r>
      <w:r w:rsidRPr="00720FF7">
        <w:t xml:space="preserve"> </w:t>
      </w:r>
      <w:r>
        <w:t xml:space="preserve">Long </w:t>
      </w:r>
      <w:r w:rsidRPr="00720FF7">
        <w:t xml:space="preserve">term bicycle parking applies to existing facilities if the project </w:t>
      </w:r>
      <w:r w:rsidR="008450B3">
        <w:t xml:space="preserve">adds 10 or more </w:t>
      </w:r>
      <w:r w:rsidRPr="00720FF7">
        <w:t>vehicular parking spaces.</w:t>
      </w:r>
    </w:p>
    <w:p w:rsidR="002C7DF1" w:rsidRPr="002C6CCA" w:rsidRDefault="00252F7D" w:rsidP="002C7DF1">
      <w:pPr>
        <w:autoSpaceDE w:val="0"/>
        <w:autoSpaceDN w:val="0"/>
        <w:adjustRightInd w:val="0"/>
        <w:ind w:left="720" w:hanging="720"/>
        <w:rPr>
          <w:bCs/>
        </w:rPr>
      </w:pPr>
      <w:r w:rsidRPr="002C6CCA">
        <w:rPr>
          <w:b/>
          <w:bCs/>
          <w:sz w:val="20"/>
          <w:szCs w:val="20"/>
          <w:u w:val="single"/>
        </w:rPr>
        <w:fldChar w:fldCharType="begin">
          <w:ffData>
            <w:name w:val=""/>
            <w:enabled/>
            <w:calcOnExit w:val="0"/>
            <w:ddList>
              <w:listEntry w:val="      "/>
              <w:listEntry w:val=" X "/>
              <w:listEntry w:val="N/A"/>
            </w:ddList>
          </w:ffData>
        </w:fldChar>
      </w:r>
      <w:r w:rsidRPr="002C6CCA">
        <w:rPr>
          <w:b/>
          <w:bCs/>
          <w:sz w:val="20"/>
          <w:szCs w:val="20"/>
          <w:u w:val="single"/>
        </w:rPr>
        <w:instrText xml:space="preserve"> FORMDROPDOWN </w:instrText>
      </w:r>
      <w:r w:rsidR="00612F87" w:rsidRPr="002C6CCA">
        <w:rPr>
          <w:b/>
          <w:bCs/>
          <w:sz w:val="20"/>
          <w:szCs w:val="20"/>
          <w:u w:val="single"/>
        </w:rPr>
      </w:r>
      <w:r w:rsidRPr="002C6CCA">
        <w:rPr>
          <w:b/>
          <w:bCs/>
          <w:sz w:val="20"/>
          <w:szCs w:val="20"/>
          <w:u w:val="single"/>
        </w:rPr>
        <w:fldChar w:fldCharType="end"/>
      </w:r>
      <w:r w:rsidR="002C7DF1" w:rsidRPr="002C6CCA">
        <w:rPr>
          <w:bCs/>
        </w:rPr>
        <w:tab/>
      </w:r>
      <w:r w:rsidR="004D52BB" w:rsidRPr="002C6CCA">
        <w:rPr>
          <w:bCs/>
        </w:rPr>
        <w:t xml:space="preserve">This project will accommodate over 10 tenant-occupants, therefore </w:t>
      </w:r>
      <w:r w:rsidR="004D52BB" w:rsidRPr="002C6CCA">
        <w:rPr>
          <w:bCs/>
          <w:u w:val="single"/>
        </w:rPr>
        <w:t>l</w:t>
      </w:r>
      <w:r w:rsidR="002C7DF1" w:rsidRPr="002C6CCA">
        <w:rPr>
          <w:bCs/>
          <w:u w:val="single"/>
        </w:rPr>
        <w:t>ong term bicycle parking</w:t>
      </w:r>
      <w:r w:rsidR="002C7DF1" w:rsidRPr="002C6CCA">
        <w:rPr>
          <w:bCs/>
        </w:rPr>
        <w:t xml:space="preserve"> is provided</w:t>
      </w:r>
      <w:r w:rsidR="004D52BB" w:rsidRPr="002C6CCA">
        <w:rPr>
          <w:bCs/>
        </w:rPr>
        <w:t xml:space="preserve">. </w:t>
      </w:r>
      <w:r w:rsidR="00272975" w:rsidRPr="00720FF7">
        <w:t xml:space="preserve">The total number </w:t>
      </w:r>
      <w:r w:rsidR="00272975">
        <w:t xml:space="preserve">(minimum 1) </w:t>
      </w:r>
      <w:r w:rsidR="00272975" w:rsidRPr="00720FF7">
        <w:t>provided equal to 5% of the required parking is:</w:t>
      </w:r>
      <w:r w:rsidR="00272975">
        <w:t xml:space="preserve"> </w:t>
      </w:r>
      <w:r w:rsidR="00B478F7" w:rsidRPr="002C6CCA">
        <w:rPr>
          <w:b/>
          <w:bCs/>
          <w:u w:val="single"/>
        </w:rPr>
        <w:fldChar w:fldCharType="begin">
          <w:ffData>
            <w:name w:val=""/>
            <w:enabled/>
            <w:calcOnExit w:val="0"/>
            <w:textInput>
              <w:maxLength w:val="12"/>
            </w:textInput>
          </w:ffData>
        </w:fldChar>
      </w:r>
      <w:r w:rsidR="00B478F7" w:rsidRPr="002C6CCA">
        <w:rPr>
          <w:b/>
          <w:bCs/>
          <w:u w:val="single"/>
        </w:rPr>
        <w:instrText xml:space="preserve"> FORMTEXT </w:instrText>
      </w:r>
      <w:r w:rsidR="00CA19A4" w:rsidRPr="002C6CCA">
        <w:rPr>
          <w:b/>
          <w:bCs/>
          <w:u w:val="single"/>
        </w:rPr>
      </w:r>
      <w:r w:rsidR="00B478F7" w:rsidRPr="002C6CCA">
        <w:rPr>
          <w:b/>
          <w:bCs/>
          <w:u w:val="single"/>
        </w:rPr>
        <w:fldChar w:fldCharType="separate"/>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B478F7" w:rsidRPr="002C6CCA">
        <w:rPr>
          <w:b/>
          <w:bCs/>
          <w:u w:val="single"/>
        </w:rPr>
        <w:fldChar w:fldCharType="end"/>
      </w:r>
      <w:r w:rsidR="002C7DF1" w:rsidRPr="002C6CCA">
        <w:rPr>
          <w:bCs/>
        </w:rPr>
        <w:t xml:space="preserve">. The method(s) selected </w:t>
      </w:r>
      <w:r w:rsidR="004D52BB" w:rsidRPr="002C6CCA">
        <w:rPr>
          <w:bCs/>
        </w:rPr>
        <w:t xml:space="preserve">to satisfy this requirement </w:t>
      </w:r>
      <w:r w:rsidR="002C7DF1" w:rsidRPr="002C6CCA">
        <w:rPr>
          <w:bCs/>
        </w:rPr>
        <w:t xml:space="preserve">is (are):  </w:t>
      </w:r>
    </w:p>
    <w:p w:rsidR="002C7DF1" w:rsidRPr="002C6CCA" w:rsidRDefault="002C7DF1" w:rsidP="002C7DF1">
      <w:pPr>
        <w:autoSpaceDE w:val="0"/>
        <w:autoSpaceDN w:val="0"/>
        <w:adjustRightInd w:val="0"/>
        <w:ind w:left="720" w:hanging="720"/>
        <w:rPr>
          <w:bCs/>
        </w:rPr>
      </w:pPr>
    </w:p>
    <w:p w:rsidR="002C7DF1" w:rsidRPr="002C6CCA" w:rsidRDefault="00755BC8" w:rsidP="002C7DF1">
      <w:pPr>
        <w:autoSpaceDE w:val="0"/>
        <w:autoSpaceDN w:val="0"/>
        <w:adjustRightInd w:val="0"/>
        <w:ind w:left="144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2C7DF1" w:rsidRPr="002C6CCA">
        <w:rPr>
          <w:bCs/>
        </w:rPr>
        <w:tab/>
      </w:r>
      <w:r w:rsidR="005A5273" w:rsidRPr="002C6CCA">
        <w:rPr>
          <w:color w:val="231F20"/>
        </w:rPr>
        <w:t>Covered, lockable enclosures with permanently</w:t>
      </w:r>
      <w:r w:rsidR="005A5273" w:rsidRPr="002C6CCA">
        <w:rPr>
          <w:bCs/>
        </w:rPr>
        <w:t xml:space="preserve"> </w:t>
      </w:r>
      <w:r w:rsidR="005A5273" w:rsidRPr="002C6CCA">
        <w:rPr>
          <w:color w:val="231F20"/>
        </w:rPr>
        <w:t>anchored racks for bicycles, t</w:t>
      </w:r>
      <w:r w:rsidR="005A5273" w:rsidRPr="002C6CCA">
        <w:rPr>
          <w:bCs/>
        </w:rPr>
        <w:t xml:space="preserve">he total number provided is: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5A5273" w:rsidRPr="002C6CCA">
        <w:rPr>
          <w:bCs/>
        </w:rPr>
        <w:t xml:space="preserve">, see plan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5A5273" w:rsidRPr="002C6CCA">
        <w:rPr>
          <w:bCs/>
        </w:rPr>
        <w:t xml:space="preserve">. </w:t>
      </w:r>
    </w:p>
    <w:p w:rsidR="002C7DF1" w:rsidRPr="002C6CCA" w:rsidRDefault="002C7DF1" w:rsidP="002C7DF1">
      <w:pPr>
        <w:autoSpaceDE w:val="0"/>
        <w:autoSpaceDN w:val="0"/>
        <w:adjustRightInd w:val="0"/>
        <w:ind w:firstLine="720"/>
        <w:rPr>
          <w:color w:val="231F20"/>
        </w:rPr>
      </w:pPr>
    </w:p>
    <w:p w:rsidR="002C7DF1" w:rsidRPr="002C6CCA" w:rsidRDefault="00755BC8" w:rsidP="002C7DF1">
      <w:pPr>
        <w:autoSpaceDE w:val="0"/>
        <w:autoSpaceDN w:val="0"/>
        <w:adjustRightInd w:val="0"/>
        <w:ind w:left="144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2C7DF1" w:rsidRPr="002C6CCA">
        <w:rPr>
          <w:color w:val="231F20"/>
        </w:rPr>
        <w:tab/>
        <w:t>Lockable bicycle rooms with permanently anchored</w:t>
      </w:r>
      <w:r w:rsidR="002C7DF1" w:rsidRPr="002C6CCA">
        <w:rPr>
          <w:color w:val="231F20"/>
        </w:rPr>
        <w:tab/>
        <w:t>racks, t</w:t>
      </w:r>
      <w:r w:rsidR="002C7DF1" w:rsidRPr="002C6CCA">
        <w:rPr>
          <w:bCs/>
        </w:rPr>
        <w:t xml:space="preserve">he total number provided </w:t>
      </w:r>
      <w:r w:rsidR="004D52BB" w:rsidRPr="002C6CCA">
        <w:rPr>
          <w:bCs/>
        </w:rPr>
        <w:t>is</w:t>
      </w:r>
      <w:r w:rsidR="002C7DF1" w:rsidRPr="002C6CCA">
        <w:rPr>
          <w:bCs/>
        </w:rPr>
        <w:t xml:space="preserve">: </w:t>
      </w:r>
      <w:r w:rsidR="00B478F7" w:rsidRPr="002C6CCA">
        <w:rPr>
          <w:b/>
          <w:bCs/>
          <w:u w:val="single"/>
        </w:rPr>
        <w:fldChar w:fldCharType="begin">
          <w:ffData>
            <w:name w:val=""/>
            <w:enabled/>
            <w:calcOnExit w:val="0"/>
            <w:textInput>
              <w:maxLength w:val="12"/>
            </w:textInput>
          </w:ffData>
        </w:fldChar>
      </w:r>
      <w:r w:rsidR="00B478F7" w:rsidRPr="002C6CCA">
        <w:rPr>
          <w:b/>
          <w:bCs/>
          <w:u w:val="single"/>
        </w:rPr>
        <w:instrText xml:space="preserve"> FORMTEXT </w:instrText>
      </w:r>
      <w:r w:rsidR="00B478F7" w:rsidRPr="002C6CCA">
        <w:rPr>
          <w:b/>
          <w:bCs/>
          <w:u w:val="single"/>
        </w:rPr>
      </w:r>
      <w:r w:rsidR="00B478F7" w:rsidRPr="002C6CCA">
        <w:rPr>
          <w:b/>
          <w:bCs/>
          <w:u w:val="single"/>
        </w:rPr>
        <w:fldChar w:fldCharType="separate"/>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u w:val="single"/>
        </w:rPr>
        <w:fldChar w:fldCharType="end"/>
      </w:r>
      <w:r w:rsidR="002C7DF1" w:rsidRPr="002C6CCA">
        <w:rPr>
          <w:bCs/>
        </w:rPr>
        <w:t xml:space="preserve">, see plan sheet: </w:t>
      </w:r>
      <w:r w:rsidR="00B478F7" w:rsidRPr="002C6CCA">
        <w:rPr>
          <w:b/>
          <w:bCs/>
          <w:u w:val="single"/>
        </w:rPr>
        <w:fldChar w:fldCharType="begin">
          <w:ffData>
            <w:name w:val=""/>
            <w:enabled/>
            <w:calcOnExit w:val="0"/>
            <w:textInput>
              <w:maxLength w:val="12"/>
            </w:textInput>
          </w:ffData>
        </w:fldChar>
      </w:r>
      <w:r w:rsidR="00B478F7" w:rsidRPr="002C6CCA">
        <w:rPr>
          <w:b/>
          <w:bCs/>
          <w:u w:val="single"/>
        </w:rPr>
        <w:instrText xml:space="preserve"> FORMTEXT </w:instrText>
      </w:r>
      <w:r w:rsidR="00B478F7" w:rsidRPr="002C6CCA">
        <w:rPr>
          <w:b/>
          <w:bCs/>
          <w:u w:val="single"/>
        </w:rPr>
      </w:r>
      <w:r w:rsidR="00B478F7" w:rsidRPr="002C6CCA">
        <w:rPr>
          <w:b/>
          <w:bCs/>
          <w:u w:val="single"/>
        </w:rPr>
        <w:fldChar w:fldCharType="separate"/>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u w:val="single"/>
        </w:rPr>
        <w:fldChar w:fldCharType="end"/>
      </w:r>
      <w:r w:rsidR="002C7DF1" w:rsidRPr="002C6CCA">
        <w:rPr>
          <w:bCs/>
        </w:rPr>
        <w:t xml:space="preserve">. </w:t>
      </w:r>
    </w:p>
    <w:p w:rsidR="002C7DF1" w:rsidRPr="002C6CCA" w:rsidRDefault="002C7DF1" w:rsidP="002C7DF1">
      <w:pPr>
        <w:autoSpaceDE w:val="0"/>
        <w:autoSpaceDN w:val="0"/>
        <w:adjustRightInd w:val="0"/>
        <w:rPr>
          <w:color w:val="231F20"/>
        </w:rPr>
      </w:pPr>
    </w:p>
    <w:p w:rsidR="002C7DF1" w:rsidRPr="002C6CCA" w:rsidRDefault="002D753F" w:rsidP="002C7DF1">
      <w:pPr>
        <w:autoSpaceDE w:val="0"/>
        <w:autoSpaceDN w:val="0"/>
        <w:adjustRightInd w:val="0"/>
        <w:ind w:left="1440" w:hanging="720"/>
        <w:rPr>
          <w:b/>
          <w:bCs/>
        </w:rPr>
      </w:pPr>
      <w:r>
        <w:rPr>
          <w:b/>
          <w:bCs/>
          <w:sz w:val="20"/>
          <w:szCs w:val="20"/>
          <w:u w:val="single"/>
        </w:rPr>
        <w:fldChar w:fldCharType="begin">
          <w:ffData>
            <w:name w:val="Dropdown1"/>
            <w:enabled/>
            <w:calcOnExit w:val="0"/>
            <w:ddList>
              <w:listEntry w:val="      "/>
              <w:listEntry w:val=" X "/>
              <w:listEntry w:val="N/A"/>
            </w:ddList>
          </w:ffData>
        </w:fldChar>
      </w:r>
      <w:bookmarkStart w:id="2" w:name="Dropdown1"/>
      <w:r>
        <w:rPr>
          <w:b/>
          <w:bCs/>
          <w:sz w:val="20"/>
          <w:szCs w:val="20"/>
          <w:u w:val="single"/>
        </w:rPr>
        <w:instrText xml:space="preserve"> FORMDROPDOWN </w:instrText>
      </w:r>
      <w:r>
        <w:rPr>
          <w:b/>
          <w:bCs/>
          <w:sz w:val="20"/>
          <w:szCs w:val="20"/>
          <w:u w:val="single"/>
        </w:rPr>
      </w:r>
      <w:r>
        <w:rPr>
          <w:b/>
          <w:bCs/>
          <w:sz w:val="20"/>
          <w:szCs w:val="20"/>
          <w:u w:val="single"/>
        </w:rPr>
        <w:fldChar w:fldCharType="end"/>
      </w:r>
      <w:bookmarkEnd w:id="2"/>
      <w:r w:rsidR="002C7DF1" w:rsidRPr="002C6CCA">
        <w:rPr>
          <w:color w:val="231F20"/>
        </w:rPr>
        <w:tab/>
      </w:r>
      <w:r w:rsidR="005A5273" w:rsidRPr="002C6CCA">
        <w:rPr>
          <w:color w:val="231F20"/>
        </w:rPr>
        <w:t>Lockable, permanently anchored bicycle lockers, t</w:t>
      </w:r>
      <w:r w:rsidR="005A5273" w:rsidRPr="002C6CCA">
        <w:rPr>
          <w:bCs/>
        </w:rPr>
        <w:t xml:space="preserve">he total number provided is: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5A5273" w:rsidRPr="002C6CCA">
        <w:rPr>
          <w:b/>
          <w:bCs/>
          <w:u w:val="single"/>
        </w:rPr>
        <w:fldChar w:fldCharType="end"/>
      </w:r>
      <w:r w:rsidR="005A5273" w:rsidRPr="002C6CCA">
        <w:rPr>
          <w:bCs/>
        </w:rPr>
        <w:t xml:space="preserve">, see plan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143B82" w:rsidRPr="002C6CCA">
        <w:rPr>
          <w:b/>
          <w:bCs/>
          <w:u w:val="single"/>
        </w:rPr>
        <w:t> </w:t>
      </w:r>
      <w:r w:rsidR="005A5273" w:rsidRPr="002C6CCA">
        <w:rPr>
          <w:b/>
          <w:bCs/>
          <w:u w:val="single"/>
        </w:rPr>
        <w:fldChar w:fldCharType="end"/>
      </w:r>
      <w:r w:rsidR="005A5273" w:rsidRPr="002C6CCA">
        <w:rPr>
          <w:bCs/>
        </w:rPr>
        <w:t xml:space="preserve">. </w:t>
      </w:r>
    </w:p>
    <w:p w:rsidR="00BD3627" w:rsidRPr="002C6CCA" w:rsidRDefault="00BD3627" w:rsidP="0032084F">
      <w:pPr>
        <w:autoSpaceDE w:val="0"/>
        <w:autoSpaceDN w:val="0"/>
        <w:adjustRightInd w:val="0"/>
        <w:rPr>
          <w:b/>
          <w:bCs/>
          <w:sz w:val="22"/>
          <w:szCs w:val="22"/>
        </w:rPr>
      </w:pPr>
    </w:p>
    <w:p w:rsidR="00EC5850" w:rsidRDefault="00EC5850" w:rsidP="00755BC8">
      <w:pPr>
        <w:autoSpaceDE w:val="0"/>
        <w:autoSpaceDN w:val="0"/>
        <w:adjustRightInd w:val="0"/>
        <w:spacing w:after="60"/>
        <w:rPr>
          <w:b/>
          <w:bCs/>
          <w:sz w:val="20"/>
          <w:szCs w:val="20"/>
        </w:rPr>
      </w:pPr>
    </w:p>
    <w:p w:rsidR="00EC5850" w:rsidRDefault="00EC5850" w:rsidP="00755BC8">
      <w:pPr>
        <w:autoSpaceDE w:val="0"/>
        <w:autoSpaceDN w:val="0"/>
        <w:adjustRightInd w:val="0"/>
        <w:spacing w:after="60"/>
        <w:rPr>
          <w:b/>
          <w:bCs/>
          <w:sz w:val="20"/>
          <w:szCs w:val="20"/>
        </w:rPr>
      </w:pPr>
    </w:p>
    <w:p w:rsidR="00EC5850" w:rsidRDefault="00EC5850" w:rsidP="00755BC8">
      <w:pPr>
        <w:autoSpaceDE w:val="0"/>
        <w:autoSpaceDN w:val="0"/>
        <w:adjustRightInd w:val="0"/>
        <w:spacing w:after="60"/>
        <w:rPr>
          <w:b/>
          <w:bCs/>
          <w:sz w:val="20"/>
          <w:szCs w:val="20"/>
        </w:rPr>
      </w:pPr>
    </w:p>
    <w:p w:rsidR="002C7DF1" w:rsidRPr="002C6CCA" w:rsidRDefault="002C7DF1" w:rsidP="00755BC8">
      <w:pPr>
        <w:autoSpaceDE w:val="0"/>
        <w:autoSpaceDN w:val="0"/>
        <w:adjustRightInd w:val="0"/>
        <w:spacing w:after="60"/>
        <w:rPr>
          <w:bCs/>
          <w:sz w:val="20"/>
          <w:szCs w:val="20"/>
        </w:rPr>
      </w:pPr>
      <w:r w:rsidRPr="002C6CCA">
        <w:rPr>
          <w:b/>
          <w:bCs/>
          <w:sz w:val="20"/>
          <w:szCs w:val="20"/>
        </w:rPr>
        <w:lastRenderedPageBreak/>
        <w:t xml:space="preserve">DESIGNATED PARKING FOR “CLEAN AIR VEHICLES </w:t>
      </w:r>
      <w:r w:rsidRPr="002C6CCA">
        <w:rPr>
          <w:bCs/>
          <w:sz w:val="20"/>
          <w:szCs w:val="20"/>
        </w:rPr>
        <w:t>(CGBSC</w:t>
      </w:r>
      <w:r w:rsidR="007D2943" w:rsidRPr="002C6CCA">
        <w:rPr>
          <w:bCs/>
          <w:sz w:val="20"/>
          <w:szCs w:val="20"/>
        </w:rPr>
        <w:t xml:space="preserve"> 5.106.5.2</w:t>
      </w:r>
      <w:r w:rsidR="00321AB0" w:rsidRPr="002C6CCA">
        <w:rPr>
          <w:bCs/>
          <w:sz w:val="20"/>
          <w:szCs w:val="20"/>
        </w:rPr>
        <w:t>, 5.710.6.3</w:t>
      </w:r>
      <w:r w:rsidRPr="002C6CCA">
        <w:rPr>
          <w:bCs/>
          <w:sz w:val="20"/>
          <w:szCs w:val="20"/>
        </w:rPr>
        <w:t>)</w:t>
      </w:r>
    </w:p>
    <w:p w:rsidR="00321AB0" w:rsidRPr="002C6CCA" w:rsidRDefault="00321AB0" w:rsidP="00755BC8">
      <w:pPr>
        <w:autoSpaceDE w:val="0"/>
        <w:autoSpaceDN w:val="0"/>
        <w:adjustRightInd w:val="0"/>
        <w:spacing w:after="60"/>
        <w:rPr>
          <w:bCs/>
        </w:rPr>
      </w:pPr>
      <w:r w:rsidRPr="002C6CCA">
        <w:rPr>
          <w:b/>
          <w:bCs/>
        </w:rPr>
        <w:t>[E]</w:t>
      </w:r>
      <w:r w:rsidRPr="002C6CCA">
        <w:rPr>
          <w:bCs/>
        </w:rPr>
        <w:t xml:space="preserve"> Applicable for existing facilities if the project is expected to generate visitor traffic and adds 10 or more vehicular parking spaces.</w:t>
      </w:r>
    </w:p>
    <w:p w:rsidR="00BD3627" w:rsidRPr="002C6CCA" w:rsidRDefault="00755BC8" w:rsidP="006F7CC4">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6F7CC4" w:rsidRPr="002C6CCA">
        <w:rPr>
          <w:bCs/>
        </w:rPr>
        <w:tab/>
      </w:r>
      <w:r w:rsidR="007D2943" w:rsidRPr="002C6CCA">
        <w:rPr>
          <w:bCs/>
        </w:rPr>
        <w:t xml:space="preserve">Per Table 5.106.5.2, a total of </w:t>
      </w:r>
      <w:r w:rsidR="00B478F7" w:rsidRPr="002C6CCA">
        <w:rPr>
          <w:b/>
          <w:bCs/>
          <w:u w:val="single"/>
        </w:rPr>
        <w:fldChar w:fldCharType="begin">
          <w:ffData>
            <w:name w:val=""/>
            <w:enabled/>
            <w:calcOnExit w:val="0"/>
            <w:textInput>
              <w:maxLength w:val="12"/>
            </w:textInput>
          </w:ffData>
        </w:fldChar>
      </w:r>
      <w:r w:rsidR="00B478F7" w:rsidRPr="002C6CCA">
        <w:rPr>
          <w:b/>
          <w:bCs/>
          <w:u w:val="single"/>
        </w:rPr>
        <w:instrText xml:space="preserve"> FORMTEXT </w:instrText>
      </w:r>
      <w:r w:rsidR="00B478F7" w:rsidRPr="002C6CCA">
        <w:rPr>
          <w:b/>
          <w:bCs/>
          <w:u w:val="single"/>
        </w:rPr>
      </w:r>
      <w:r w:rsidR="00B478F7" w:rsidRPr="002C6CCA">
        <w:rPr>
          <w:b/>
          <w:bCs/>
          <w:u w:val="single"/>
        </w:rPr>
        <w:fldChar w:fldCharType="separate"/>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u w:val="single"/>
        </w:rPr>
        <w:fldChar w:fldCharType="end"/>
      </w:r>
      <w:r w:rsidR="00B478F7" w:rsidRPr="002C6CCA">
        <w:rPr>
          <w:bCs/>
        </w:rPr>
        <w:t xml:space="preserve"> </w:t>
      </w:r>
      <w:r w:rsidR="007D2943" w:rsidRPr="002C6CCA">
        <w:rPr>
          <w:bCs/>
        </w:rPr>
        <w:t xml:space="preserve">Clean Air Vehicle parking spaces are provided. Spaces shall be permanently identified in </w:t>
      </w:r>
      <w:r w:rsidR="004D52BB" w:rsidRPr="002C6CCA">
        <w:rPr>
          <w:bCs/>
        </w:rPr>
        <w:t>12</w:t>
      </w:r>
      <w:r w:rsidR="007D2943" w:rsidRPr="002C6CCA">
        <w:rPr>
          <w:bCs/>
        </w:rPr>
        <w:t xml:space="preserve"> inch high lettering that says “CLEAN AIR</w:t>
      </w:r>
      <w:r w:rsidR="00321AB0" w:rsidRPr="002C6CCA">
        <w:rPr>
          <w:bCs/>
        </w:rPr>
        <w:t>/VAN POOL/EV</w:t>
      </w:r>
      <w:r w:rsidR="007D2943" w:rsidRPr="002C6CCA">
        <w:rPr>
          <w:bCs/>
        </w:rPr>
        <w:t xml:space="preserve">”. Such lettering shall align with the end of the stall striping so as to be visible when a vehicle is parked in the stall. </w:t>
      </w:r>
      <w:r w:rsidR="004D52BB" w:rsidRPr="002C6CCA">
        <w:rPr>
          <w:bCs/>
        </w:rPr>
        <w:t>S</w:t>
      </w:r>
      <w:r w:rsidR="007D2943" w:rsidRPr="002C6CCA">
        <w:rPr>
          <w:bCs/>
        </w:rPr>
        <w:t xml:space="preserve">ee plan sheet </w:t>
      </w:r>
      <w:r w:rsidR="00B478F7" w:rsidRPr="002C6CCA">
        <w:rPr>
          <w:b/>
          <w:bCs/>
          <w:u w:val="single"/>
        </w:rPr>
        <w:fldChar w:fldCharType="begin">
          <w:ffData>
            <w:name w:val=""/>
            <w:enabled/>
            <w:calcOnExit w:val="0"/>
            <w:textInput>
              <w:maxLength w:val="12"/>
            </w:textInput>
          </w:ffData>
        </w:fldChar>
      </w:r>
      <w:r w:rsidR="00B478F7" w:rsidRPr="002C6CCA">
        <w:rPr>
          <w:b/>
          <w:bCs/>
          <w:u w:val="single"/>
        </w:rPr>
        <w:instrText xml:space="preserve"> FORMTEXT </w:instrText>
      </w:r>
      <w:r w:rsidR="00B478F7" w:rsidRPr="002C6CCA">
        <w:rPr>
          <w:b/>
          <w:bCs/>
          <w:u w:val="single"/>
        </w:rPr>
      </w:r>
      <w:r w:rsidR="00B478F7" w:rsidRPr="002C6CCA">
        <w:rPr>
          <w:b/>
          <w:bCs/>
          <w:u w:val="single"/>
        </w:rPr>
        <w:fldChar w:fldCharType="separate"/>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noProof/>
          <w:u w:val="single"/>
        </w:rPr>
        <w:t> </w:t>
      </w:r>
      <w:r w:rsidR="00B478F7" w:rsidRPr="002C6CCA">
        <w:rPr>
          <w:b/>
          <w:bCs/>
          <w:u w:val="single"/>
        </w:rPr>
        <w:fldChar w:fldCharType="end"/>
      </w:r>
      <w:r w:rsidR="00B478F7" w:rsidRPr="002C6CCA">
        <w:rPr>
          <w:bCs/>
        </w:rPr>
        <w:t xml:space="preserve"> </w:t>
      </w:r>
      <w:r w:rsidR="004D52BB" w:rsidRPr="002C6CCA">
        <w:rPr>
          <w:bCs/>
        </w:rPr>
        <w:t>defining designated stalls and lettering details</w:t>
      </w:r>
      <w:r w:rsidR="007D2943" w:rsidRPr="002C6CCA">
        <w:rPr>
          <w:bCs/>
        </w:rPr>
        <w:t>.</w:t>
      </w:r>
    </w:p>
    <w:p w:rsidR="00BD3627" w:rsidRPr="002C6CCA" w:rsidRDefault="00BD3627" w:rsidP="0032084F">
      <w:pPr>
        <w:autoSpaceDE w:val="0"/>
        <w:autoSpaceDN w:val="0"/>
        <w:adjustRightInd w:val="0"/>
        <w:rPr>
          <w:b/>
          <w:bCs/>
          <w:sz w:val="22"/>
          <w:szCs w:val="22"/>
        </w:rPr>
      </w:pPr>
    </w:p>
    <w:p w:rsidR="008E679B" w:rsidRPr="002C6CCA" w:rsidRDefault="008E679B" w:rsidP="00755BC8">
      <w:pPr>
        <w:autoSpaceDE w:val="0"/>
        <w:autoSpaceDN w:val="0"/>
        <w:adjustRightInd w:val="0"/>
        <w:spacing w:after="60"/>
        <w:rPr>
          <w:bCs/>
          <w:sz w:val="20"/>
          <w:szCs w:val="20"/>
        </w:rPr>
      </w:pPr>
      <w:r w:rsidRPr="002C6CCA">
        <w:rPr>
          <w:b/>
          <w:bCs/>
          <w:sz w:val="20"/>
          <w:szCs w:val="20"/>
        </w:rPr>
        <w:t xml:space="preserve">LIGHT POLLUTION REDUCTION </w:t>
      </w:r>
      <w:r w:rsidRPr="002C6CCA">
        <w:rPr>
          <w:bCs/>
          <w:sz w:val="20"/>
          <w:szCs w:val="20"/>
        </w:rPr>
        <w:t>(CGBSC 5.106.8)</w:t>
      </w:r>
    </w:p>
    <w:p w:rsidR="00080F82" w:rsidRPr="002C6CCA" w:rsidRDefault="00755BC8" w:rsidP="006F7CC4">
      <w:pPr>
        <w:pStyle w:val="p0"/>
        <w:ind w:hanging="720"/>
        <w:rPr>
          <w:rFonts w:ascii="Times New Roman" w:hAnsi="Times New Roman" w:cs="Times New Roman"/>
          <w:sz w:val="24"/>
          <w:szCs w:val="24"/>
        </w:rPr>
      </w:pPr>
      <w:r w:rsidRPr="002C6CCA">
        <w:rPr>
          <w:rFonts w:ascii="Times New Roman" w:hAnsi="Times New Roman" w:cs="Times New Roman"/>
          <w:b/>
          <w:bCs/>
          <w:sz w:val="20"/>
          <w:szCs w:val="20"/>
          <w:u w:val="single"/>
        </w:rPr>
        <w:fldChar w:fldCharType="begin">
          <w:ffData>
            <w:name w:val="Dropdown1"/>
            <w:enabled/>
            <w:calcOnExit w:val="0"/>
            <w:ddList>
              <w:listEntry w:val="      "/>
              <w:listEntry w:val=" X "/>
              <w:listEntry w:val="N/A"/>
            </w:ddList>
          </w:ffData>
        </w:fldChar>
      </w:r>
      <w:r w:rsidRPr="002C6CCA">
        <w:rPr>
          <w:rFonts w:ascii="Times New Roman" w:hAnsi="Times New Roman" w:cs="Times New Roman"/>
          <w:b/>
          <w:bCs/>
          <w:sz w:val="20"/>
          <w:szCs w:val="20"/>
          <w:u w:val="single"/>
        </w:rPr>
        <w:instrText xml:space="preserve"> FORMDROPDOWN </w:instrText>
      </w:r>
      <w:r w:rsidR="00CA19A4" w:rsidRPr="002C6CCA">
        <w:rPr>
          <w:rFonts w:ascii="Times New Roman" w:hAnsi="Times New Roman" w:cs="Times New Roman"/>
          <w:b/>
          <w:bCs/>
          <w:sz w:val="20"/>
          <w:szCs w:val="20"/>
          <w:u w:val="single"/>
        </w:rPr>
      </w:r>
      <w:r w:rsidRPr="002C6CCA">
        <w:rPr>
          <w:rFonts w:ascii="Times New Roman" w:hAnsi="Times New Roman" w:cs="Times New Roman"/>
          <w:b/>
          <w:bCs/>
          <w:sz w:val="20"/>
          <w:szCs w:val="20"/>
          <w:u w:val="single"/>
        </w:rPr>
        <w:fldChar w:fldCharType="end"/>
      </w:r>
      <w:r w:rsidR="00191F6B" w:rsidRPr="002C6CCA">
        <w:rPr>
          <w:rFonts w:ascii="Times New Roman" w:hAnsi="Times New Roman" w:cs="Times New Roman"/>
          <w:bCs/>
          <w:sz w:val="24"/>
          <w:szCs w:val="24"/>
        </w:rPr>
        <w:tab/>
      </w:r>
      <w:r w:rsidR="006F7CC4" w:rsidRPr="002C6CCA">
        <w:rPr>
          <w:rFonts w:ascii="Times New Roman" w:hAnsi="Times New Roman" w:cs="Times New Roman"/>
          <w:b/>
          <w:bCs/>
          <w:sz w:val="24"/>
          <w:szCs w:val="24"/>
        </w:rPr>
        <w:t>[P]</w:t>
      </w:r>
      <w:r w:rsidR="006F7CC4" w:rsidRPr="002C6CCA">
        <w:rPr>
          <w:rFonts w:ascii="Times New Roman" w:hAnsi="Times New Roman" w:cs="Times New Roman"/>
          <w:bCs/>
          <w:sz w:val="24"/>
          <w:szCs w:val="24"/>
        </w:rPr>
        <w:t xml:space="preserve"> </w:t>
      </w:r>
      <w:r w:rsidR="008E679B" w:rsidRPr="002C6CCA">
        <w:rPr>
          <w:rFonts w:ascii="Times New Roman" w:hAnsi="Times New Roman" w:cs="Times New Roman"/>
          <w:bCs/>
          <w:sz w:val="24"/>
          <w:szCs w:val="24"/>
        </w:rPr>
        <w:t xml:space="preserve">Outdoor lighting designed to comply with </w:t>
      </w:r>
      <w:r w:rsidR="00191F6B" w:rsidRPr="002C6CCA">
        <w:rPr>
          <w:rFonts w:ascii="Times New Roman" w:hAnsi="Times New Roman" w:cs="Times New Roman"/>
          <w:bCs/>
          <w:sz w:val="24"/>
          <w:szCs w:val="24"/>
        </w:rPr>
        <w:t>the City of Irvine Security Code</w:t>
      </w:r>
      <w:r w:rsidR="00321AB0" w:rsidRPr="002C6CCA">
        <w:rPr>
          <w:rFonts w:ascii="Times New Roman" w:hAnsi="Times New Roman" w:cs="Times New Roman"/>
          <w:bCs/>
          <w:sz w:val="24"/>
          <w:szCs w:val="24"/>
        </w:rPr>
        <w:t>,</w:t>
      </w:r>
      <w:r w:rsidR="00191F6B" w:rsidRPr="002C6CCA">
        <w:rPr>
          <w:rFonts w:ascii="Times New Roman" w:hAnsi="Times New Roman" w:cs="Times New Roman"/>
          <w:bCs/>
          <w:sz w:val="24"/>
          <w:szCs w:val="24"/>
        </w:rPr>
        <w:t xml:space="preserve"> section 3-16-1 of the City of Ir</w:t>
      </w:r>
      <w:r w:rsidR="008E679B" w:rsidRPr="002C6CCA">
        <w:rPr>
          <w:rFonts w:ascii="Times New Roman" w:hAnsi="Times New Roman" w:cs="Times New Roman"/>
          <w:bCs/>
          <w:sz w:val="24"/>
          <w:szCs w:val="24"/>
        </w:rPr>
        <w:t xml:space="preserve">vine Zoning </w:t>
      </w:r>
      <w:r w:rsidR="00191F6B" w:rsidRPr="002C6CCA">
        <w:rPr>
          <w:rFonts w:ascii="Times New Roman" w:hAnsi="Times New Roman" w:cs="Times New Roman"/>
          <w:bCs/>
          <w:sz w:val="24"/>
          <w:szCs w:val="24"/>
        </w:rPr>
        <w:t>Code</w:t>
      </w:r>
      <w:r w:rsidR="00321AB0" w:rsidRPr="002C6CCA">
        <w:rPr>
          <w:rFonts w:ascii="Times New Roman" w:hAnsi="Times New Roman" w:cs="Times New Roman"/>
          <w:bCs/>
          <w:sz w:val="24"/>
          <w:szCs w:val="24"/>
        </w:rPr>
        <w:t>,</w:t>
      </w:r>
      <w:r w:rsidR="00191F6B" w:rsidRPr="002C6CCA">
        <w:rPr>
          <w:rFonts w:ascii="Times New Roman" w:hAnsi="Times New Roman" w:cs="Times New Roman"/>
          <w:bCs/>
          <w:sz w:val="24"/>
          <w:szCs w:val="24"/>
        </w:rPr>
        <w:t xml:space="preserve"> which requires </w:t>
      </w:r>
      <w:r w:rsidR="00191F6B" w:rsidRPr="002C6CCA">
        <w:rPr>
          <w:rFonts w:ascii="Times New Roman" w:hAnsi="Times New Roman" w:cs="Times New Roman"/>
          <w:sz w:val="24"/>
          <w:szCs w:val="24"/>
        </w:rPr>
        <w:t>all direct rays to be confined to the site and that adjacent properties are protected from glare</w:t>
      </w:r>
      <w:r w:rsidR="00321AB0" w:rsidRPr="002C6CCA">
        <w:rPr>
          <w:rFonts w:ascii="Times New Roman" w:hAnsi="Times New Roman" w:cs="Times New Roman"/>
          <w:sz w:val="24"/>
          <w:szCs w:val="24"/>
        </w:rPr>
        <w:t>, and allowable BUG rating limitations of Table 5.106.8 of CGBSC</w:t>
      </w:r>
      <w:r w:rsidR="00191F6B" w:rsidRPr="002C6CCA">
        <w:rPr>
          <w:rFonts w:ascii="Times New Roman" w:hAnsi="Times New Roman" w:cs="Times New Roman"/>
          <w:sz w:val="24"/>
          <w:szCs w:val="24"/>
        </w:rPr>
        <w:t xml:space="preserve"> are depicted on plan sheet  </w:t>
      </w:r>
      <w:r w:rsidR="00162F59" w:rsidRPr="002C6CCA">
        <w:rPr>
          <w:rFonts w:ascii="Times New Roman" w:hAnsi="Times New Roman" w:cs="Times New Roman"/>
          <w:b/>
          <w:sz w:val="22"/>
          <w:szCs w:val="22"/>
          <w:u w:val="single"/>
        </w:rPr>
        <w:fldChar w:fldCharType="begin">
          <w:ffData>
            <w:name w:val=""/>
            <w:enabled/>
            <w:calcOnExit w:val="0"/>
            <w:textInput>
              <w:maxLength w:val="12"/>
            </w:textInput>
          </w:ffData>
        </w:fldChar>
      </w:r>
      <w:r w:rsidR="00162F59" w:rsidRPr="002C6CCA">
        <w:rPr>
          <w:rFonts w:ascii="Times New Roman" w:hAnsi="Times New Roman" w:cs="Times New Roman"/>
          <w:b/>
          <w:sz w:val="22"/>
          <w:szCs w:val="22"/>
          <w:u w:val="single"/>
        </w:rPr>
        <w:instrText xml:space="preserve"> FORMTEXT </w:instrText>
      </w:r>
      <w:r w:rsidR="00162F59" w:rsidRPr="002C6CCA">
        <w:rPr>
          <w:rFonts w:ascii="Times New Roman" w:hAnsi="Times New Roman" w:cs="Times New Roman"/>
          <w:b/>
          <w:sz w:val="22"/>
          <w:szCs w:val="22"/>
          <w:u w:val="single"/>
        </w:rPr>
      </w:r>
      <w:r w:rsidR="00162F59" w:rsidRPr="002C6CCA">
        <w:rPr>
          <w:rFonts w:ascii="Times New Roman" w:hAnsi="Times New Roman" w:cs="Times New Roman"/>
          <w:b/>
          <w:sz w:val="22"/>
          <w:szCs w:val="22"/>
          <w:u w:val="single"/>
        </w:rPr>
        <w:fldChar w:fldCharType="separate"/>
      </w:r>
      <w:r w:rsidR="00162F59" w:rsidRPr="002C6CCA">
        <w:rPr>
          <w:rFonts w:ascii="Times New Roman" w:eastAsia="Arial Unicode MS" w:hAnsi="Times New Roman" w:cs="Times New Roman"/>
          <w:b/>
          <w:sz w:val="22"/>
          <w:szCs w:val="22"/>
          <w:u w:val="single"/>
        </w:rPr>
        <w:t> </w:t>
      </w:r>
      <w:r w:rsidR="00162F59" w:rsidRPr="002C6CCA">
        <w:rPr>
          <w:rFonts w:ascii="Times New Roman" w:eastAsia="Arial Unicode MS" w:hAnsi="Times New Roman" w:cs="Times New Roman"/>
          <w:b/>
          <w:sz w:val="22"/>
          <w:szCs w:val="22"/>
          <w:u w:val="single"/>
        </w:rPr>
        <w:t> </w:t>
      </w:r>
      <w:r w:rsidR="00162F59" w:rsidRPr="002C6CCA">
        <w:rPr>
          <w:rFonts w:ascii="Times New Roman" w:eastAsia="Arial Unicode MS" w:hAnsi="Times New Roman" w:cs="Times New Roman"/>
          <w:b/>
          <w:sz w:val="22"/>
          <w:szCs w:val="22"/>
          <w:u w:val="single"/>
        </w:rPr>
        <w:t> </w:t>
      </w:r>
      <w:r w:rsidR="00162F59" w:rsidRPr="002C6CCA">
        <w:rPr>
          <w:rFonts w:ascii="Times New Roman" w:eastAsia="Arial Unicode MS" w:hAnsi="Times New Roman" w:cs="Times New Roman"/>
          <w:b/>
          <w:sz w:val="22"/>
          <w:szCs w:val="22"/>
          <w:u w:val="single"/>
        </w:rPr>
        <w:t> </w:t>
      </w:r>
      <w:r w:rsidR="00162F59" w:rsidRPr="002C6CCA">
        <w:rPr>
          <w:rFonts w:ascii="Times New Roman" w:eastAsia="Arial Unicode MS" w:hAnsi="Times New Roman" w:cs="Times New Roman"/>
          <w:b/>
          <w:sz w:val="22"/>
          <w:szCs w:val="22"/>
          <w:u w:val="single"/>
        </w:rPr>
        <w:t> </w:t>
      </w:r>
      <w:r w:rsidR="00162F59" w:rsidRPr="002C6CCA">
        <w:rPr>
          <w:rFonts w:ascii="Times New Roman" w:hAnsi="Times New Roman" w:cs="Times New Roman"/>
          <w:b/>
          <w:sz w:val="22"/>
          <w:szCs w:val="22"/>
          <w:u w:val="single"/>
        </w:rPr>
        <w:fldChar w:fldCharType="end"/>
      </w:r>
      <w:r w:rsidR="00162F59" w:rsidRPr="002C6CCA">
        <w:rPr>
          <w:rFonts w:ascii="Times New Roman" w:hAnsi="Times New Roman" w:cs="Times New Roman"/>
          <w:sz w:val="24"/>
          <w:szCs w:val="24"/>
        </w:rPr>
        <w:t xml:space="preserve"> a</w:t>
      </w:r>
      <w:r w:rsidR="00191F6B" w:rsidRPr="002C6CCA">
        <w:rPr>
          <w:rFonts w:ascii="Times New Roman" w:hAnsi="Times New Roman" w:cs="Times New Roman"/>
          <w:sz w:val="24"/>
          <w:szCs w:val="24"/>
        </w:rPr>
        <w:t>long with photometrics</w:t>
      </w:r>
      <w:r w:rsidR="00403D5C" w:rsidRPr="002C6CCA">
        <w:rPr>
          <w:rFonts w:ascii="Times New Roman" w:hAnsi="Times New Roman" w:cs="Times New Roman"/>
          <w:sz w:val="24"/>
          <w:szCs w:val="24"/>
        </w:rPr>
        <w:t>.</w:t>
      </w:r>
    </w:p>
    <w:p w:rsidR="00EC5850" w:rsidRDefault="00EC5850" w:rsidP="00EC5850">
      <w:pPr>
        <w:autoSpaceDE w:val="0"/>
        <w:autoSpaceDN w:val="0"/>
        <w:adjustRightInd w:val="0"/>
        <w:spacing w:after="40"/>
        <w:rPr>
          <w:bCs/>
          <w:sz w:val="20"/>
          <w:szCs w:val="20"/>
        </w:rPr>
      </w:pPr>
      <w:r>
        <w:rPr>
          <w:b/>
          <w:bCs/>
          <w:sz w:val="20"/>
          <w:szCs w:val="20"/>
        </w:rPr>
        <w:t>WATER EFFICIENCY AND CONSERVATION</w:t>
      </w:r>
      <w:r>
        <w:rPr>
          <w:bCs/>
          <w:sz w:val="20"/>
          <w:szCs w:val="20"/>
        </w:rPr>
        <w:t xml:space="preserve"> (CGBSC </w:t>
      </w:r>
      <w:r>
        <w:rPr>
          <w:bCs/>
        </w:rPr>
        <w:t>5.303</w:t>
      </w:r>
      <w:r>
        <w:rPr>
          <w:b/>
          <w:bCs/>
        </w:rPr>
        <w:t>)</w:t>
      </w:r>
    </w:p>
    <w:p w:rsidR="00EC5850" w:rsidRDefault="00EC5850" w:rsidP="00EC5850">
      <w:pPr>
        <w:autoSpaceDE w:val="0"/>
        <w:autoSpaceDN w:val="0"/>
        <w:adjustRightInd w:val="0"/>
        <w:spacing w:after="40"/>
        <w:rPr>
          <w:b/>
          <w:bCs/>
          <w:color w:val="231F20"/>
          <w:sz w:val="20"/>
          <w:szCs w:val="20"/>
        </w:rPr>
      </w:pPr>
      <w:r>
        <w:rPr>
          <w:b/>
          <w:bCs/>
          <w:color w:val="231F20"/>
          <w:sz w:val="20"/>
          <w:szCs w:val="20"/>
        </w:rPr>
        <w:t>Separate Submeters or metering devices</w:t>
      </w:r>
    </w:p>
    <w:p w:rsidR="00EC5850" w:rsidRDefault="00EC5850" w:rsidP="00EC5850">
      <w:pPr>
        <w:autoSpaceDE w:val="0"/>
        <w:autoSpaceDN w:val="0"/>
        <w:adjustRightInd w:val="0"/>
        <w:spacing w:after="40"/>
        <w:rPr>
          <w:bCs/>
          <w:color w:val="231F20"/>
        </w:rPr>
      </w:pPr>
      <w:r>
        <w:rPr>
          <w:bCs/>
          <w:color w:val="231F20"/>
        </w:rPr>
        <w:t xml:space="preserve">Applicable to new buildings exceeding 50,000 square feet and </w:t>
      </w:r>
      <w:r w:rsidRPr="00B05AF1">
        <w:rPr>
          <w:b/>
          <w:bCs/>
          <w:color w:val="231F20"/>
        </w:rPr>
        <w:t>[E]</w:t>
      </w:r>
      <w:r>
        <w:rPr>
          <w:bCs/>
          <w:color w:val="231F20"/>
        </w:rPr>
        <w:t xml:space="preserve"> additions of 50,000 square feet or more made to existing buildings, and to  any tenant of a new building or addition, regardless of size, which is projected to consume more than 1,000 gals/day sections 5.303.1.1 and 5.303.1.2 CGBSC. </w:t>
      </w:r>
    </w:p>
    <w:p w:rsidR="008450B3" w:rsidRDefault="00EC5850" w:rsidP="00EC5850">
      <w:pPr>
        <w:autoSpaceDE w:val="0"/>
        <w:autoSpaceDN w:val="0"/>
        <w:adjustRightInd w:val="0"/>
        <w:rPr>
          <w:bCs/>
          <w:color w:val="231F20"/>
        </w:rPr>
      </w:pPr>
      <w:r>
        <w:rPr>
          <w:b/>
          <w:bCs/>
          <w:sz w:val="20"/>
          <w:szCs w:val="20"/>
          <w:u w:val="single"/>
        </w:rPr>
        <w:fldChar w:fldCharType="begin">
          <w:ffData>
            <w:name w:val=""/>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bCs/>
          <w:color w:val="231F20"/>
        </w:rPr>
        <w:tab/>
        <w:t>This project consists of a single tenant building with a dedicated meter.</w:t>
      </w:r>
    </w:p>
    <w:p w:rsidR="00EC5850" w:rsidRDefault="00EC5850" w:rsidP="00EC5850">
      <w:pPr>
        <w:autoSpaceDE w:val="0"/>
        <w:autoSpaceDN w:val="0"/>
        <w:adjustRightInd w:val="0"/>
        <w:ind w:left="720" w:hanging="720"/>
        <w:rPr>
          <w:b/>
          <w:bCs/>
          <w:color w:val="231F20"/>
        </w:rPr>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b/>
          <w:bCs/>
          <w:color w:val="231F20"/>
        </w:rPr>
        <w:tab/>
      </w:r>
      <w:r>
        <w:rPr>
          <w:bCs/>
          <w:color w:val="231F20"/>
        </w:rPr>
        <w:t>A separate meter or metering device is provided for</w:t>
      </w:r>
      <w:r>
        <w:rPr>
          <w:b/>
          <w:bCs/>
          <w:color w:val="231F20"/>
        </w:rPr>
        <w:t xml:space="preserve"> </w:t>
      </w:r>
      <w:r>
        <w:rPr>
          <w:bCs/>
          <w:color w:val="231F20"/>
        </w:rPr>
        <w:t xml:space="preserve">the following spaces: </w:t>
      </w:r>
      <w:r>
        <w:rPr>
          <w:b/>
          <w:bCs/>
          <w:u w:val="single"/>
        </w:rPr>
        <w:fldChar w:fldCharType="begin">
          <w:ffData>
            <w:name w:val=""/>
            <w:enabled/>
            <w:calcOnExit w:val="0"/>
            <w:textInput>
              <w:maxLength w:val="50"/>
            </w:textInput>
          </w:ffData>
        </w:fldChar>
      </w:r>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r>
        <w:rPr>
          <w:b/>
          <w:bCs/>
          <w:color w:val="231F20"/>
        </w:rPr>
        <w:t>.</w:t>
      </w:r>
      <w:r>
        <w:rPr>
          <w:b/>
          <w:bCs/>
          <w:color w:val="231F20"/>
        </w:rPr>
        <w:tab/>
      </w:r>
    </w:p>
    <w:p w:rsidR="00EC5850" w:rsidRDefault="00EC5850" w:rsidP="00EC5850">
      <w:pPr>
        <w:autoSpaceDE w:val="0"/>
        <w:autoSpaceDN w:val="0"/>
        <w:adjustRightInd w:val="0"/>
        <w:ind w:firstLine="720"/>
        <w:rPr>
          <w:bCs/>
          <w:color w:val="231F20"/>
        </w:rPr>
      </w:pPr>
      <w:r>
        <w:rPr>
          <w:bCs/>
          <w:color w:val="231F20"/>
        </w:rPr>
        <w:t xml:space="preserve">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r>
        <w:rPr>
          <w:bCs/>
          <w:color w:val="231F20"/>
        </w:rPr>
        <w:t xml:space="preserve"> for details and specifications defining metering design.</w:t>
      </w:r>
    </w:p>
    <w:p w:rsidR="00EC5850" w:rsidRDefault="00EC5850" w:rsidP="00EC5850">
      <w:pPr>
        <w:autoSpaceDE w:val="0"/>
        <w:autoSpaceDN w:val="0"/>
        <w:adjustRightInd w:val="0"/>
        <w:ind w:left="720" w:hanging="720"/>
        <w:rPr>
          <w:bCs/>
          <w:color w:val="231F20"/>
        </w:rPr>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bCs/>
          <w:color w:val="231F20"/>
        </w:rPr>
        <w:tab/>
        <w:t>Separate meters or metering devices are not required as the new building or addition is less than 50,000 square feet, and no tenant usage is projected to exceed 1,000 gals/day.</w:t>
      </w:r>
    </w:p>
    <w:p w:rsidR="00EC5850" w:rsidRDefault="008450B3" w:rsidP="00EC5850">
      <w:pPr>
        <w:autoSpaceDE w:val="0"/>
        <w:autoSpaceDN w:val="0"/>
        <w:adjustRightInd w:val="0"/>
        <w:ind w:left="720" w:hanging="720"/>
        <w:rPr>
          <w:bCs/>
          <w:color w:val="231F20"/>
        </w:rPr>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sidR="00EC5850">
        <w:rPr>
          <w:bCs/>
          <w:color w:val="231F20"/>
        </w:rPr>
        <w:tab/>
      </w:r>
      <w:r w:rsidR="00EC5850" w:rsidRPr="00A207E4">
        <w:rPr>
          <w:bCs/>
          <w:color w:val="231F20"/>
        </w:rPr>
        <w:t xml:space="preserve">Separate meters or metering devices are not required as </w:t>
      </w:r>
      <w:r w:rsidR="00EC5850">
        <w:rPr>
          <w:bCs/>
          <w:color w:val="231F20"/>
        </w:rPr>
        <w:t>no tenant usage is projected to consume more than 100 gals/day</w:t>
      </w:r>
      <w:r w:rsidR="00EC5850" w:rsidRPr="00A207E4">
        <w:rPr>
          <w:bCs/>
          <w:color w:val="231F20"/>
        </w:rPr>
        <w:t>.</w:t>
      </w:r>
    </w:p>
    <w:p w:rsidR="00EC5850" w:rsidRDefault="00EC5850" w:rsidP="00EC5850">
      <w:pPr>
        <w:autoSpaceDE w:val="0"/>
        <w:autoSpaceDN w:val="0"/>
        <w:adjustRightInd w:val="0"/>
        <w:rPr>
          <w:bCs/>
          <w:color w:val="231F20"/>
        </w:rPr>
      </w:pPr>
    </w:p>
    <w:p w:rsidR="00EC5850" w:rsidRDefault="00EC5850" w:rsidP="00EC5850">
      <w:pPr>
        <w:autoSpaceDE w:val="0"/>
        <w:autoSpaceDN w:val="0"/>
        <w:adjustRightInd w:val="0"/>
        <w:rPr>
          <w:bCs/>
          <w:color w:val="231F20"/>
        </w:rPr>
      </w:pPr>
      <w:r>
        <w:rPr>
          <w:bCs/>
          <w:color w:val="231F20"/>
        </w:rPr>
        <w:t xml:space="preserve">Notes: (1) Tenants of new multi-tenant buildings or additions exceeding 50,000 square feet and that are not provided with a separate metering device must be shown to use less than 100 gals/day via worksheet WS-1 found in chapter 8 of the CGBSC and any necessary addendum worksheet to reflect process water or other uses not represented on the worksheet. (2) For new buildings or additions having a total floor area less than 50,000 square feet, all its spaces </w:t>
      </w:r>
      <w:r>
        <w:rPr>
          <w:bCs/>
          <w:color w:val="231F20"/>
          <w:u w:val="single"/>
        </w:rPr>
        <w:t>not</w:t>
      </w:r>
      <w:r>
        <w:rPr>
          <w:bCs/>
          <w:color w:val="231F20"/>
        </w:rPr>
        <w:t xml:space="preserve"> having a separate metering device must be shown to have a projected consumption of less than 1,000 gals/day via worksheet WS-1 found in chapter 8 of the CGBSC and any necessary addendum worksheet to reflect process water or other uses not represented on the worksheet.</w:t>
      </w:r>
    </w:p>
    <w:p w:rsidR="00F374B3" w:rsidRPr="002C6CCA" w:rsidRDefault="00F374B3" w:rsidP="00483116">
      <w:pPr>
        <w:autoSpaceDE w:val="0"/>
        <w:autoSpaceDN w:val="0"/>
        <w:adjustRightInd w:val="0"/>
        <w:rPr>
          <w:bCs/>
          <w:color w:val="231F20"/>
        </w:rPr>
      </w:pPr>
    </w:p>
    <w:p w:rsidR="009336AE" w:rsidRDefault="009336AE" w:rsidP="009336AE">
      <w:pPr>
        <w:autoSpaceDE w:val="0"/>
        <w:autoSpaceDN w:val="0"/>
        <w:adjustRightInd w:val="0"/>
        <w:rPr>
          <w:bCs/>
          <w:sz w:val="20"/>
          <w:szCs w:val="20"/>
        </w:rPr>
      </w:pPr>
      <w:r>
        <w:rPr>
          <w:b/>
          <w:bCs/>
          <w:sz w:val="20"/>
          <w:szCs w:val="20"/>
        </w:rPr>
        <w:t>INDOOR WATER USE</w:t>
      </w:r>
      <w:r>
        <w:rPr>
          <w:bCs/>
          <w:sz w:val="20"/>
          <w:szCs w:val="20"/>
        </w:rPr>
        <w:t xml:space="preserve"> (CGBSC 5.303.2)</w:t>
      </w:r>
    </w:p>
    <w:p w:rsidR="009336AE" w:rsidRDefault="009336AE" w:rsidP="009336AE">
      <w:pPr>
        <w:autoSpaceDE w:val="0"/>
        <w:autoSpaceDN w:val="0"/>
        <w:adjustRightInd w:val="0"/>
        <w:rPr>
          <w:bCs/>
          <w:sz w:val="20"/>
          <w:szCs w:val="20"/>
        </w:rPr>
      </w:pPr>
      <w:r w:rsidRPr="00C77A9C">
        <w:rPr>
          <w:b/>
          <w:bCs/>
        </w:rPr>
        <w:t>[E]</w:t>
      </w:r>
      <w:r>
        <w:rPr>
          <w:bCs/>
          <w:sz w:val="20"/>
          <w:szCs w:val="20"/>
        </w:rPr>
        <w:t xml:space="preserve"> </w:t>
      </w:r>
      <w:r>
        <w:rPr>
          <w:bCs/>
        </w:rPr>
        <w:t>Applicable to any newly installed plumbing fixture within the area of remodel or addition.</w:t>
      </w:r>
    </w:p>
    <w:p w:rsidR="009336AE" w:rsidRDefault="009336AE" w:rsidP="009336AE">
      <w:pPr>
        <w:autoSpaceDE w:val="0"/>
        <w:autoSpaceDN w:val="0"/>
        <w:adjustRightInd w:val="0"/>
      </w:pPr>
      <w:r>
        <w:t xml:space="preserve">All new plumbing fixtures meet the requirements of Table 5.303.2.3 and section 5.303.3 </w:t>
      </w:r>
    </w:p>
    <w:p w:rsidR="009336AE" w:rsidRDefault="009336AE" w:rsidP="009336AE">
      <w:pPr>
        <w:autoSpaceDE w:val="0"/>
        <w:autoSpaceDN w:val="0"/>
        <w:adjustRightInd w:val="0"/>
      </w:pPr>
    </w:p>
    <w:p w:rsidR="009336AE" w:rsidRDefault="009336AE" w:rsidP="009336AE">
      <w:pPr>
        <w:autoSpaceDE w:val="0"/>
        <w:autoSpaceDN w:val="0"/>
        <w:adjustRightInd w:val="0"/>
        <w:ind w:left="720" w:hanging="720"/>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tab/>
        <w:t>All new plumbing fixtures meet the requirements of Table 5.303.2.3 and section 5.303.3, see modified table below for flow rates.</w:t>
      </w:r>
    </w:p>
    <w:p w:rsidR="009336AE" w:rsidRDefault="009336AE" w:rsidP="009336AE">
      <w:pPr>
        <w:autoSpaceDE w:val="0"/>
        <w:autoSpaceDN w:val="0"/>
        <w:adjustRightInd w:val="0"/>
      </w:pPr>
    </w:p>
    <w:p w:rsidR="00A20C8D" w:rsidRPr="002C6CCA" w:rsidRDefault="009336AE" w:rsidP="009336AE">
      <w:pPr>
        <w:autoSpaceDE w:val="0"/>
        <w:autoSpaceDN w:val="0"/>
        <w:adjustRightInd w:val="0"/>
        <w:ind w:left="720" w:hanging="720"/>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tab/>
        <w:t xml:space="preserve">20 percent reduction in baseline water use is demonstrated, see attached work sheets, WS-1, WS-2…, pursuant to the exception to CGBSC section 5.303.2. For alternate fixture table,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t>.</w:t>
      </w:r>
    </w:p>
    <w:p w:rsidR="00503D32" w:rsidRPr="002C6CCA" w:rsidRDefault="00503D32" w:rsidP="00DD0ECF">
      <w:pPr>
        <w:autoSpaceDE w:val="0"/>
        <w:autoSpaceDN w:val="0"/>
        <w:adjustRightInd w:val="0"/>
      </w:pPr>
    </w:p>
    <w:p w:rsidR="00445A7C" w:rsidRPr="002C6CCA" w:rsidRDefault="00445A7C" w:rsidP="00A8579C">
      <w:pPr>
        <w:autoSpaceDE w:val="0"/>
        <w:autoSpaceDN w:val="0"/>
        <w:adjustRightInd w:val="0"/>
        <w:jc w:val="center"/>
      </w:pPr>
    </w:p>
    <w:p w:rsidR="00A8579C" w:rsidRPr="002C6CCA" w:rsidRDefault="00A8579C" w:rsidP="00A8579C">
      <w:pPr>
        <w:autoSpaceDE w:val="0"/>
        <w:autoSpaceDN w:val="0"/>
        <w:adjustRightInd w:val="0"/>
        <w:jc w:val="center"/>
      </w:pPr>
      <w:r w:rsidRPr="002C6CCA">
        <w:t xml:space="preserve">TABLE </w:t>
      </w:r>
      <w:r w:rsidR="00E478D4" w:rsidRPr="002C6CCA">
        <w:t>5</w:t>
      </w:r>
      <w:r w:rsidR="002009C6" w:rsidRPr="002C6CCA">
        <w:t>.303.2</w:t>
      </w:r>
      <w:r w:rsidR="00E478D4" w:rsidRPr="002C6CCA">
        <w:t>.3</w:t>
      </w:r>
      <w:r w:rsidR="00504B59" w:rsidRPr="002C6CCA">
        <w:t xml:space="preserve"> (modified)</w:t>
      </w:r>
    </w:p>
    <w:p w:rsidR="00A8579C" w:rsidRPr="002C6CCA" w:rsidRDefault="00A8579C" w:rsidP="00A8579C">
      <w:pPr>
        <w:autoSpaceDE w:val="0"/>
        <w:autoSpaceDN w:val="0"/>
        <w:adjustRightInd w:val="0"/>
        <w:jc w:val="center"/>
      </w:pPr>
      <w:r w:rsidRPr="002C6CCA">
        <w:t>FIXTURE FLOW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10"/>
      </w:tblGrid>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FIXTURE TYPE</w:t>
            </w:r>
          </w:p>
        </w:tc>
        <w:tc>
          <w:tcPr>
            <w:tcW w:w="4410" w:type="dxa"/>
            <w:shd w:val="clear" w:color="auto" w:fill="auto"/>
          </w:tcPr>
          <w:p w:rsidR="009336AE" w:rsidRPr="002C6CCA" w:rsidRDefault="009336AE" w:rsidP="009336AE">
            <w:pPr>
              <w:autoSpaceDE w:val="0"/>
              <w:autoSpaceDN w:val="0"/>
              <w:adjustRightInd w:val="0"/>
            </w:pPr>
            <w:r w:rsidRPr="002C6CCA">
              <w:t xml:space="preserve">MAXIMUM FLOW RATE </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Showerheads</w:t>
            </w:r>
          </w:p>
        </w:tc>
        <w:tc>
          <w:tcPr>
            <w:tcW w:w="4410" w:type="dxa"/>
            <w:shd w:val="clear" w:color="auto" w:fill="auto"/>
          </w:tcPr>
          <w:p w:rsidR="009336AE" w:rsidRPr="002C6CCA" w:rsidRDefault="009336AE" w:rsidP="002B141E">
            <w:pPr>
              <w:autoSpaceDE w:val="0"/>
              <w:autoSpaceDN w:val="0"/>
              <w:adjustRightInd w:val="0"/>
            </w:pPr>
            <w:r w:rsidRPr="002C6CCA">
              <w:t>2 gpm @ 80 psi</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Lavatory faucets</w:t>
            </w:r>
          </w:p>
        </w:tc>
        <w:tc>
          <w:tcPr>
            <w:tcW w:w="4410" w:type="dxa"/>
            <w:shd w:val="clear" w:color="auto" w:fill="auto"/>
          </w:tcPr>
          <w:p w:rsidR="009336AE" w:rsidRPr="002C6CCA" w:rsidRDefault="009336AE" w:rsidP="009336AE">
            <w:pPr>
              <w:autoSpaceDE w:val="0"/>
              <w:autoSpaceDN w:val="0"/>
              <w:adjustRightInd w:val="0"/>
            </w:pPr>
            <w:r w:rsidRPr="002C6CCA">
              <w:t>0.</w:t>
            </w:r>
            <w:r>
              <w:t>5</w:t>
            </w:r>
            <w:r w:rsidRPr="002C6CCA">
              <w:t xml:space="preserve"> gpm @ 60 psi</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Kitchen faucets</w:t>
            </w:r>
          </w:p>
        </w:tc>
        <w:tc>
          <w:tcPr>
            <w:tcW w:w="4410" w:type="dxa"/>
            <w:shd w:val="clear" w:color="auto" w:fill="auto"/>
          </w:tcPr>
          <w:p w:rsidR="009336AE" w:rsidRPr="002C6CCA" w:rsidRDefault="009336AE" w:rsidP="002B141E">
            <w:pPr>
              <w:autoSpaceDE w:val="0"/>
              <w:autoSpaceDN w:val="0"/>
              <w:adjustRightInd w:val="0"/>
            </w:pPr>
            <w:r w:rsidRPr="002C6CCA">
              <w:t>1.8 gpm @ 60 psi</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Wash fountain</w:t>
            </w:r>
          </w:p>
        </w:tc>
        <w:tc>
          <w:tcPr>
            <w:tcW w:w="4410" w:type="dxa"/>
            <w:shd w:val="clear" w:color="auto" w:fill="auto"/>
          </w:tcPr>
          <w:p w:rsidR="009336AE" w:rsidRPr="002C6CCA" w:rsidRDefault="009336AE" w:rsidP="002B141E">
            <w:pPr>
              <w:autoSpaceDE w:val="0"/>
              <w:autoSpaceDN w:val="0"/>
              <w:adjustRightInd w:val="0"/>
            </w:pPr>
            <w:r w:rsidRPr="002C6CCA">
              <w:t>1.8[rim space (in.)/20 gpm @60 psi]</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Metering faucet</w:t>
            </w:r>
          </w:p>
        </w:tc>
        <w:tc>
          <w:tcPr>
            <w:tcW w:w="4410" w:type="dxa"/>
            <w:shd w:val="clear" w:color="auto" w:fill="auto"/>
          </w:tcPr>
          <w:p w:rsidR="009336AE" w:rsidRPr="002C6CCA" w:rsidRDefault="009336AE" w:rsidP="002B141E">
            <w:pPr>
              <w:autoSpaceDE w:val="0"/>
              <w:autoSpaceDN w:val="0"/>
              <w:adjustRightInd w:val="0"/>
            </w:pPr>
            <w:r w:rsidRPr="002C6CCA">
              <w:t>0.2 gallons/cycle</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Metering faucet for wash fountains</w:t>
            </w:r>
          </w:p>
        </w:tc>
        <w:tc>
          <w:tcPr>
            <w:tcW w:w="4410" w:type="dxa"/>
            <w:shd w:val="clear" w:color="auto" w:fill="auto"/>
          </w:tcPr>
          <w:p w:rsidR="009336AE" w:rsidRPr="002C6CCA" w:rsidRDefault="009336AE" w:rsidP="002B141E">
            <w:pPr>
              <w:autoSpaceDE w:val="0"/>
              <w:autoSpaceDN w:val="0"/>
              <w:adjustRightInd w:val="0"/>
            </w:pPr>
            <w:r w:rsidRPr="002C6CCA">
              <w:t>0.2[rim space (in.)/20 gpm @60 psi]</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Water Closets</w:t>
            </w:r>
          </w:p>
        </w:tc>
        <w:tc>
          <w:tcPr>
            <w:tcW w:w="4410" w:type="dxa"/>
            <w:shd w:val="clear" w:color="auto" w:fill="auto"/>
          </w:tcPr>
          <w:p w:rsidR="009336AE" w:rsidRPr="002C6CCA" w:rsidRDefault="009336AE" w:rsidP="002B141E">
            <w:pPr>
              <w:autoSpaceDE w:val="0"/>
              <w:autoSpaceDN w:val="0"/>
              <w:adjustRightInd w:val="0"/>
            </w:pPr>
            <w:r w:rsidRPr="002C6CCA">
              <w:t>1.28 gallons/flush</w:t>
            </w:r>
            <w:r>
              <w:t>*</w:t>
            </w:r>
          </w:p>
        </w:tc>
      </w:tr>
      <w:tr w:rsidR="009336AE" w:rsidRPr="002C6CCA" w:rsidTr="009336AE">
        <w:tc>
          <w:tcPr>
            <w:tcW w:w="4320" w:type="dxa"/>
            <w:shd w:val="clear" w:color="auto" w:fill="auto"/>
          </w:tcPr>
          <w:p w:rsidR="009336AE" w:rsidRPr="002C6CCA" w:rsidRDefault="009336AE" w:rsidP="002B141E">
            <w:pPr>
              <w:autoSpaceDE w:val="0"/>
              <w:autoSpaceDN w:val="0"/>
              <w:adjustRightInd w:val="0"/>
            </w:pPr>
            <w:r w:rsidRPr="002C6CCA">
              <w:t>Urinal</w:t>
            </w:r>
          </w:p>
        </w:tc>
        <w:tc>
          <w:tcPr>
            <w:tcW w:w="4410" w:type="dxa"/>
            <w:shd w:val="clear" w:color="auto" w:fill="auto"/>
          </w:tcPr>
          <w:p w:rsidR="009336AE" w:rsidRPr="002C6CCA" w:rsidRDefault="009336AE" w:rsidP="002B141E">
            <w:pPr>
              <w:autoSpaceDE w:val="0"/>
              <w:autoSpaceDN w:val="0"/>
              <w:adjustRightInd w:val="0"/>
            </w:pPr>
            <w:r w:rsidRPr="002C6CCA">
              <w:t>0.5 gallons/flush</w:t>
            </w:r>
          </w:p>
        </w:tc>
      </w:tr>
    </w:tbl>
    <w:p w:rsidR="00647F57" w:rsidRPr="002C6CCA" w:rsidRDefault="00445A7C" w:rsidP="00647F57">
      <w:pPr>
        <w:autoSpaceDE w:val="0"/>
        <w:autoSpaceDN w:val="0"/>
        <w:adjustRightInd w:val="0"/>
        <w:ind w:left="180" w:hanging="180"/>
        <w:rPr>
          <w:sz w:val="20"/>
          <w:szCs w:val="20"/>
        </w:rPr>
      </w:pPr>
      <w:r w:rsidRPr="002C6CCA">
        <w:rPr>
          <w:sz w:val="20"/>
          <w:szCs w:val="20"/>
        </w:rPr>
        <w:t xml:space="preserve">*  </w:t>
      </w:r>
      <w:r w:rsidR="001B000A" w:rsidRPr="002C6CCA">
        <w:rPr>
          <w:sz w:val="20"/>
          <w:szCs w:val="20"/>
        </w:rPr>
        <w:t xml:space="preserve">Includes </w:t>
      </w:r>
      <w:r w:rsidR="00647F57" w:rsidRPr="002C6CCA">
        <w:rPr>
          <w:sz w:val="20"/>
          <w:szCs w:val="20"/>
        </w:rPr>
        <w:t xml:space="preserve">single and dual flush water closets </w:t>
      </w:r>
      <w:r w:rsidR="001B000A" w:rsidRPr="002C6CCA">
        <w:rPr>
          <w:sz w:val="20"/>
          <w:szCs w:val="20"/>
        </w:rPr>
        <w:t>with an effective flush rate of 1.28 gallons or less</w:t>
      </w:r>
      <w:r w:rsidR="009336AE">
        <w:rPr>
          <w:sz w:val="20"/>
          <w:szCs w:val="20"/>
        </w:rPr>
        <w:t>.</w:t>
      </w:r>
    </w:p>
    <w:p w:rsidR="00647F57" w:rsidRPr="002C6CCA" w:rsidRDefault="00647F57" w:rsidP="00647F57">
      <w:pPr>
        <w:autoSpaceDE w:val="0"/>
        <w:autoSpaceDN w:val="0"/>
        <w:adjustRightInd w:val="0"/>
        <w:ind w:left="720" w:hanging="540"/>
        <w:rPr>
          <w:color w:val="231F20"/>
          <w:sz w:val="20"/>
          <w:szCs w:val="20"/>
        </w:rPr>
      </w:pPr>
      <w:r w:rsidRPr="002C6CCA">
        <w:rPr>
          <w:color w:val="231F20"/>
          <w:sz w:val="20"/>
          <w:szCs w:val="20"/>
        </w:rPr>
        <w:t xml:space="preserve">Dual flush toilets—The effective flush volume shall not exceed 1.28 gallons (4.8 liters). The effective flush volume is defined as the composite, average flush volume of two reduced flushes and one full flush. </w:t>
      </w:r>
    </w:p>
    <w:p w:rsidR="00647F57" w:rsidRPr="002C6CCA" w:rsidRDefault="00647F57" w:rsidP="00DD0ECF">
      <w:pPr>
        <w:autoSpaceDE w:val="0"/>
        <w:autoSpaceDN w:val="0"/>
        <w:adjustRightInd w:val="0"/>
        <w:rPr>
          <w:b/>
        </w:rPr>
      </w:pPr>
    </w:p>
    <w:p w:rsidR="00DD0ECF" w:rsidRPr="002C6CCA" w:rsidRDefault="0050702E" w:rsidP="00DD0ECF">
      <w:pPr>
        <w:autoSpaceDE w:val="0"/>
        <w:autoSpaceDN w:val="0"/>
        <w:adjustRightInd w:val="0"/>
      </w:pPr>
      <w:r w:rsidRPr="002C6CCA">
        <w:rPr>
          <w:bCs/>
          <w:u w:val="single"/>
        </w:rPr>
        <w:t>Note</w:t>
      </w:r>
      <w:r w:rsidRPr="002C6CCA">
        <w:rPr>
          <w:bCs/>
        </w:rPr>
        <w:t>: The combined flow of m</w:t>
      </w:r>
      <w:r w:rsidR="00DD0ECF" w:rsidRPr="002C6CCA">
        <w:t xml:space="preserve">ultiple showerheads </w:t>
      </w:r>
      <w:r w:rsidRPr="002C6CCA">
        <w:t xml:space="preserve">serving a single shower </w:t>
      </w:r>
      <w:r w:rsidR="00DD0ECF" w:rsidRPr="002C6CCA">
        <w:t>shall not exceed maximum</w:t>
      </w:r>
      <w:r w:rsidRPr="002C6CCA">
        <w:t xml:space="preserve"> allowable</w:t>
      </w:r>
      <w:r w:rsidR="00DD0ECF" w:rsidRPr="002C6CCA">
        <w:t xml:space="preserve"> flow rate</w:t>
      </w:r>
      <w:r w:rsidR="00243531" w:rsidRPr="002C6CCA">
        <w:t xml:space="preserve"> for a single fixture shower or the control valves shall </w:t>
      </w:r>
      <w:r w:rsidRPr="002C6CCA">
        <w:t xml:space="preserve">be arranged to only allow </w:t>
      </w:r>
      <w:r w:rsidR="006C1C1D" w:rsidRPr="002C6CCA">
        <w:t>one shower head to operate at a time</w:t>
      </w:r>
      <w:r w:rsidR="00DD0ECF" w:rsidRPr="002C6CCA">
        <w:t>.</w:t>
      </w:r>
    </w:p>
    <w:p w:rsidR="00961834" w:rsidRPr="002C6CCA" w:rsidRDefault="00961834" w:rsidP="0032084F">
      <w:pPr>
        <w:autoSpaceDE w:val="0"/>
        <w:autoSpaceDN w:val="0"/>
        <w:adjustRightInd w:val="0"/>
        <w:rPr>
          <w:b/>
          <w:bCs/>
          <w:sz w:val="20"/>
          <w:szCs w:val="20"/>
        </w:rPr>
      </w:pPr>
    </w:p>
    <w:p w:rsidR="00DD0ECF" w:rsidRPr="002C6CCA" w:rsidRDefault="001002A8" w:rsidP="0032084F">
      <w:pPr>
        <w:autoSpaceDE w:val="0"/>
        <w:autoSpaceDN w:val="0"/>
        <w:adjustRightInd w:val="0"/>
        <w:rPr>
          <w:bCs/>
          <w:sz w:val="20"/>
          <w:szCs w:val="20"/>
        </w:rPr>
      </w:pPr>
      <w:r w:rsidRPr="002C6CCA">
        <w:rPr>
          <w:b/>
          <w:bCs/>
          <w:sz w:val="20"/>
          <w:szCs w:val="20"/>
        </w:rPr>
        <w:t>OUTDOOR WATER USE</w:t>
      </w:r>
      <w:r w:rsidR="00BB7899" w:rsidRPr="002C6CCA">
        <w:rPr>
          <w:bCs/>
          <w:sz w:val="20"/>
          <w:szCs w:val="20"/>
        </w:rPr>
        <w:t xml:space="preserve"> (CGBSC </w:t>
      </w:r>
      <w:r w:rsidR="00B71507" w:rsidRPr="002C6CCA">
        <w:rPr>
          <w:bCs/>
          <w:sz w:val="20"/>
          <w:szCs w:val="20"/>
        </w:rPr>
        <w:t>5.304</w:t>
      </w:r>
      <w:r w:rsidR="00BB7899" w:rsidRPr="002C6CCA">
        <w:rPr>
          <w:bCs/>
          <w:sz w:val="20"/>
          <w:szCs w:val="20"/>
        </w:rPr>
        <w:t>)</w:t>
      </w:r>
    </w:p>
    <w:p w:rsidR="007B0CD9" w:rsidRDefault="007B0CD9" w:rsidP="0032084F">
      <w:pPr>
        <w:autoSpaceDE w:val="0"/>
        <w:autoSpaceDN w:val="0"/>
        <w:adjustRightInd w:val="0"/>
        <w:rPr>
          <w:bCs/>
        </w:rPr>
      </w:pPr>
      <w:r w:rsidRPr="002C6CCA">
        <w:rPr>
          <w:b/>
          <w:bCs/>
          <w:sz w:val="20"/>
          <w:szCs w:val="20"/>
        </w:rPr>
        <w:t>[E]</w:t>
      </w:r>
      <w:r w:rsidRPr="002C6CCA">
        <w:rPr>
          <w:bCs/>
          <w:sz w:val="20"/>
          <w:szCs w:val="20"/>
        </w:rPr>
        <w:t xml:space="preserve"> </w:t>
      </w:r>
      <w:r w:rsidRPr="002C6CCA">
        <w:rPr>
          <w:bCs/>
        </w:rPr>
        <w:t>Applicable to any new landscaping in conjunction to addition or remodel</w:t>
      </w:r>
      <w:r w:rsidR="009336AE">
        <w:rPr>
          <w:bCs/>
        </w:rPr>
        <w:t>.</w:t>
      </w:r>
    </w:p>
    <w:p w:rsidR="009336AE" w:rsidRPr="002C6CCA" w:rsidRDefault="009336AE" w:rsidP="0032084F">
      <w:pPr>
        <w:autoSpaceDE w:val="0"/>
        <w:autoSpaceDN w:val="0"/>
        <w:adjustRightInd w:val="0"/>
        <w:rPr>
          <w:bCs/>
        </w:rPr>
      </w:pPr>
    </w:p>
    <w:p w:rsidR="00BC0129" w:rsidRPr="002C6CCA" w:rsidRDefault="00B71507" w:rsidP="00503D32">
      <w:pPr>
        <w:autoSpaceDE w:val="0"/>
        <w:autoSpaceDN w:val="0"/>
        <w:adjustRightInd w:val="0"/>
        <w:rPr>
          <w:b/>
          <w:bCs/>
          <w:sz w:val="20"/>
          <w:szCs w:val="20"/>
        </w:rPr>
      </w:pPr>
      <w:r w:rsidRPr="002C6CCA">
        <w:rPr>
          <w:color w:val="231F20"/>
        </w:rPr>
        <w:t xml:space="preserve">Landscape and irrigation design shall comply with the City of Irvine </w:t>
      </w:r>
      <w:r w:rsidR="006730EC" w:rsidRPr="002C6CCA">
        <w:rPr>
          <w:color w:val="231F20"/>
        </w:rPr>
        <w:t xml:space="preserve">Municipal Code Chapter 7 of Title 5, Sustainability </w:t>
      </w:r>
      <w:r w:rsidR="00261F1F" w:rsidRPr="002C6CCA">
        <w:rPr>
          <w:color w:val="231F20"/>
        </w:rPr>
        <w:t>i</w:t>
      </w:r>
      <w:r w:rsidR="006730EC" w:rsidRPr="002C6CCA">
        <w:rPr>
          <w:color w:val="231F20"/>
        </w:rPr>
        <w:t xml:space="preserve">n </w:t>
      </w:r>
      <w:r w:rsidR="00C77998" w:rsidRPr="002C6CCA">
        <w:rPr>
          <w:color w:val="231F20"/>
        </w:rPr>
        <w:t>Landscap</w:t>
      </w:r>
      <w:r w:rsidR="006730EC" w:rsidRPr="002C6CCA">
        <w:rPr>
          <w:color w:val="231F20"/>
        </w:rPr>
        <w:t>ing.</w:t>
      </w:r>
    </w:p>
    <w:p w:rsidR="00BC0129" w:rsidRPr="002C6CCA" w:rsidRDefault="00BC0129" w:rsidP="00503D32">
      <w:pPr>
        <w:autoSpaceDE w:val="0"/>
        <w:autoSpaceDN w:val="0"/>
        <w:adjustRightInd w:val="0"/>
        <w:rPr>
          <w:b/>
          <w:bCs/>
          <w:sz w:val="20"/>
          <w:szCs w:val="20"/>
        </w:rPr>
      </w:pPr>
    </w:p>
    <w:p w:rsidR="0058346E" w:rsidRPr="002C6CCA" w:rsidRDefault="0058346E" w:rsidP="00503D32">
      <w:pPr>
        <w:autoSpaceDE w:val="0"/>
        <w:autoSpaceDN w:val="0"/>
        <w:adjustRightInd w:val="0"/>
        <w:rPr>
          <w:bCs/>
          <w:sz w:val="20"/>
          <w:szCs w:val="20"/>
        </w:rPr>
      </w:pPr>
      <w:r w:rsidRPr="002C6CCA">
        <w:rPr>
          <w:b/>
          <w:bCs/>
          <w:sz w:val="20"/>
          <w:szCs w:val="20"/>
        </w:rPr>
        <w:t>WATER RESISTANCE AND MOISTURE MANAGEMENT</w:t>
      </w:r>
      <w:r w:rsidR="00BC0129" w:rsidRPr="002C6CCA">
        <w:rPr>
          <w:b/>
          <w:bCs/>
          <w:sz w:val="20"/>
          <w:szCs w:val="20"/>
        </w:rPr>
        <w:t xml:space="preserve"> </w:t>
      </w:r>
      <w:r w:rsidR="00BC0129" w:rsidRPr="002C6CCA">
        <w:rPr>
          <w:bCs/>
          <w:sz w:val="20"/>
          <w:szCs w:val="20"/>
        </w:rPr>
        <w:t>(CGBSC 5.407)</w:t>
      </w:r>
    </w:p>
    <w:p w:rsidR="007B0CD9" w:rsidRPr="002C6CCA" w:rsidRDefault="007B0CD9" w:rsidP="00503D32">
      <w:pPr>
        <w:autoSpaceDE w:val="0"/>
        <w:autoSpaceDN w:val="0"/>
        <w:adjustRightInd w:val="0"/>
        <w:rPr>
          <w:bCs/>
        </w:rPr>
      </w:pPr>
      <w:r w:rsidRPr="002C6CCA">
        <w:rPr>
          <w:b/>
          <w:bCs/>
          <w:sz w:val="20"/>
          <w:szCs w:val="20"/>
        </w:rPr>
        <w:t>[E]</w:t>
      </w:r>
      <w:r w:rsidRPr="002C6CCA">
        <w:rPr>
          <w:bCs/>
          <w:sz w:val="20"/>
          <w:szCs w:val="20"/>
        </w:rPr>
        <w:t xml:space="preserve"> </w:t>
      </w:r>
      <w:r w:rsidRPr="002C6CCA">
        <w:rPr>
          <w:bCs/>
        </w:rPr>
        <w:t xml:space="preserve">Applicable to any new entry or opening which is part of an addition of </w:t>
      </w:r>
      <w:r w:rsidR="009555ED">
        <w:rPr>
          <w:bCs/>
        </w:rPr>
        <w:t>1</w:t>
      </w:r>
      <w:r w:rsidRPr="002C6CCA">
        <w:rPr>
          <w:bCs/>
        </w:rPr>
        <w:t>000 or more square feet or any tenant improvement having a valuation of $</w:t>
      </w:r>
      <w:r w:rsidR="009555ED">
        <w:rPr>
          <w:bCs/>
        </w:rPr>
        <w:t>2</w:t>
      </w:r>
      <w:r w:rsidRPr="002C6CCA">
        <w:rPr>
          <w:bCs/>
        </w:rPr>
        <w:t>00,000 or more.</w:t>
      </w:r>
    </w:p>
    <w:p w:rsidR="009555ED" w:rsidRDefault="009555ED" w:rsidP="009555ED">
      <w:pPr>
        <w:autoSpaceDE w:val="0"/>
        <w:autoSpaceDN w:val="0"/>
        <w:adjustRightInd w:val="0"/>
        <w:rPr>
          <w:color w:val="231F20"/>
        </w:rPr>
      </w:pPr>
      <w:r>
        <w:rPr>
          <w:b/>
          <w:bCs/>
          <w:sz w:val="20"/>
          <w:szCs w:val="20"/>
        </w:rPr>
        <w:t xml:space="preserve">ENTRIES </w:t>
      </w:r>
      <w:r>
        <w:rPr>
          <w:color w:val="231F20"/>
        </w:rPr>
        <w:t xml:space="preserve">To prevent water intrusion into exterior entries and/or openings subject to foot traffic or wind-driven rain, the following features have been incorporated into the design for </w:t>
      </w:r>
      <w:r w:rsidRPr="00805271">
        <w:rPr>
          <w:b/>
          <w:color w:val="231F20"/>
        </w:rPr>
        <w:t>primary exterior entries</w:t>
      </w:r>
      <w:r>
        <w:rPr>
          <w:color w:val="231F20"/>
        </w:rPr>
        <w:t>:</w:t>
      </w:r>
    </w:p>
    <w:p w:rsidR="009555ED" w:rsidRDefault="009555ED" w:rsidP="009555ED">
      <w:pPr>
        <w:autoSpaceDE w:val="0"/>
        <w:autoSpaceDN w:val="0"/>
        <w:adjustRightInd w:val="0"/>
        <w:ind w:left="720" w:hanging="720"/>
        <w:rPr>
          <w:b/>
          <w:bCs/>
          <w:sz w:val="20"/>
          <w:szCs w:val="20"/>
        </w:rPr>
      </w:pPr>
      <w:r>
        <w:rPr>
          <w:color w:val="231F20"/>
        </w:rPr>
        <w:t xml:space="preserve"> </w:t>
      </w:r>
    </w:p>
    <w:p w:rsidR="009555ED" w:rsidRDefault="009555ED" w:rsidP="009555ED">
      <w:pPr>
        <w:autoSpaceDE w:val="0"/>
        <w:autoSpaceDN w:val="0"/>
        <w:adjustRightInd w:val="0"/>
        <w:ind w:left="720" w:hanging="720"/>
        <w:rPr>
          <w:color w:val="231F20"/>
        </w:rPr>
      </w:pPr>
      <w:r>
        <w:rPr>
          <w:b/>
          <w:bCs/>
          <w:sz w:val="20"/>
          <w:szCs w:val="20"/>
          <w:u w:val="single"/>
        </w:rPr>
        <w:fldChar w:fldCharType="begin">
          <w:ffData>
            <w:name w:val=""/>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color w:val="231F20"/>
        </w:rPr>
        <w:tab/>
        <w:t xml:space="preserve">Door is protected by an awning or roof overhang four feet or more in depth, or is recessed  four feet or more,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color w:val="231F20"/>
        </w:rPr>
        <w:t>.</w:t>
      </w:r>
    </w:p>
    <w:p w:rsidR="009555ED" w:rsidRDefault="009555ED" w:rsidP="009555ED">
      <w:pPr>
        <w:autoSpaceDE w:val="0"/>
        <w:autoSpaceDN w:val="0"/>
        <w:adjustRightInd w:val="0"/>
        <w:rPr>
          <w:color w:val="231F20"/>
        </w:rPr>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color w:val="231F20"/>
        </w:rPr>
        <w:tab/>
        <w:t xml:space="preserve">Flashings integrated with a drainage plane,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color w:val="231F20"/>
        </w:rPr>
        <w:t>.</w:t>
      </w:r>
    </w:p>
    <w:p w:rsidR="00BC0129" w:rsidRPr="002C6CCA" w:rsidRDefault="009555ED" w:rsidP="009555ED">
      <w:pPr>
        <w:autoSpaceDE w:val="0"/>
        <w:autoSpaceDN w:val="0"/>
        <w:adjustRightInd w:val="0"/>
        <w:ind w:left="720" w:hanging="720"/>
        <w:rPr>
          <w:color w:val="231F20"/>
        </w:rPr>
      </w:pPr>
      <w:r>
        <w:rPr>
          <w:b/>
          <w:bCs/>
          <w:sz w:val="20"/>
          <w:szCs w:val="20"/>
          <w:u w:val="single"/>
        </w:rPr>
        <w:fldChar w:fldCharType="begin">
          <w:ffData>
            <w:name w:val="Dropdown1"/>
            <w:enabled/>
            <w:calcOnExit w:val="0"/>
            <w:ddList>
              <w:listEntry w:val="      "/>
              <w:listEntry w:val=" X "/>
              <w:listEntry w:val="N/A"/>
            </w:ddList>
          </w:ffData>
        </w:fldChar>
      </w:r>
      <w:r>
        <w:rPr>
          <w:b/>
          <w:bCs/>
          <w:sz w:val="20"/>
          <w:szCs w:val="20"/>
          <w:u w:val="single"/>
        </w:rPr>
        <w:instrText xml:space="preserve"> FORMDROPDOWN </w:instrText>
      </w:r>
      <w:r>
        <w:rPr>
          <w:b/>
          <w:bCs/>
          <w:sz w:val="20"/>
          <w:szCs w:val="20"/>
          <w:u w:val="single"/>
        </w:rPr>
      </w:r>
      <w:r>
        <w:rPr>
          <w:b/>
          <w:bCs/>
          <w:sz w:val="20"/>
          <w:szCs w:val="20"/>
          <w:u w:val="single"/>
        </w:rPr>
        <w:fldChar w:fldCharType="separate"/>
      </w:r>
      <w:r>
        <w:rPr>
          <w:b/>
          <w:bCs/>
          <w:sz w:val="20"/>
          <w:szCs w:val="20"/>
          <w:u w:val="single"/>
        </w:rPr>
        <w:fldChar w:fldCharType="end"/>
      </w:r>
      <w:r>
        <w:rPr>
          <w:color w:val="231F20"/>
        </w:rPr>
        <w:tab/>
        <w:t xml:space="preserve">Nonabsorbent floor and wall finishes within at least two feet around and perpendicular to such openings,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color w:val="231F20"/>
        </w:rPr>
        <w:t>.</w:t>
      </w:r>
    </w:p>
    <w:p w:rsidR="00BC0129" w:rsidRPr="002C6CCA" w:rsidRDefault="00BC0129" w:rsidP="00BC0129">
      <w:pPr>
        <w:autoSpaceDE w:val="0"/>
        <w:autoSpaceDN w:val="0"/>
        <w:adjustRightInd w:val="0"/>
        <w:ind w:left="720" w:hanging="720"/>
        <w:rPr>
          <w:color w:val="231F20"/>
        </w:rPr>
      </w:pPr>
    </w:p>
    <w:p w:rsidR="00503D32" w:rsidRPr="002C6CCA" w:rsidRDefault="00503D32" w:rsidP="00503D32">
      <w:pPr>
        <w:autoSpaceDE w:val="0"/>
        <w:autoSpaceDN w:val="0"/>
        <w:adjustRightInd w:val="0"/>
        <w:rPr>
          <w:bCs/>
        </w:rPr>
      </w:pPr>
      <w:r w:rsidRPr="002C6CCA">
        <w:rPr>
          <w:b/>
          <w:bCs/>
          <w:sz w:val="20"/>
          <w:szCs w:val="20"/>
        </w:rPr>
        <w:t>MATERIAL CONSERVATION AND RESOURCE EFFICIENCY- CONSTRUCTION WASTE REDUCTION, DISPOSAL AND RECYCLING</w:t>
      </w:r>
      <w:r w:rsidR="00BF42B8" w:rsidRPr="002C6CCA">
        <w:rPr>
          <w:bCs/>
          <w:sz w:val="20"/>
          <w:szCs w:val="20"/>
        </w:rPr>
        <w:t xml:space="preserve"> </w:t>
      </w:r>
      <w:r w:rsidR="004C7E77" w:rsidRPr="002C6CCA">
        <w:rPr>
          <w:bCs/>
        </w:rPr>
        <w:t>(CG</w:t>
      </w:r>
      <w:r w:rsidR="00905135" w:rsidRPr="002C6CCA">
        <w:rPr>
          <w:bCs/>
        </w:rPr>
        <w:t>BSC</w:t>
      </w:r>
      <w:r w:rsidR="00BF42B8" w:rsidRPr="002C6CCA">
        <w:rPr>
          <w:bCs/>
        </w:rPr>
        <w:t xml:space="preserve"> 5.408</w:t>
      </w:r>
      <w:r w:rsidR="004C7E77" w:rsidRPr="002C6CCA">
        <w:rPr>
          <w:bCs/>
        </w:rPr>
        <w:t>)</w:t>
      </w:r>
    </w:p>
    <w:p w:rsidR="004C7E77" w:rsidRPr="002C6CCA" w:rsidRDefault="009555ED" w:rsidP="004C7E77">
      <w:pPr>
        <w:autoSpaceDE w:val="0"/>
        <w:autoSpaceDN w:val="0"/>
        <w:adjustRightInd w:val="0"/>
      </w:pPr>
      <w:r>
        <w:t>Recycling of materials for new construction, additions and remodels shall conform to the Construction and Demolition Materials Recycling Requirements of the City of Irvine Municipal Code, sections 6-7-901 through 6-7-912.</w:t>
      </w:r>
    </w:p>
    <w:p w:rsidR="0032084F" w:rsidRPr="002C6CCA" w:rsidRDefault="0032084F" w:rsidP="0032084F">
      <w:pPr>
        <w:autoSpaceDE w:val="0"/>
        <w:autoSpaceDN w:val="0"/>
        <w:adjustRightInd w:val="0"/>
        <w:rPr>
          <w:b/>
          <w:bCs/>
        </w:rPr>
      </w:pPr>
    </w:p>
    <w:p w:rsidR="003B2F16" w:rsidRPr="002C6CCA" w:rsidRDefault="0032084F" w:rsidP="0032084F">
      <w:pPr>
        <w:autoSpaceDE w:val="0"/>
        <w:autoSpaceDN w:val="0"/>
        <w:adjustRightInd w:val="0"/>
        <w:rPr>
          <w:bCs/>
          <w:sz w:val="20"/>
          <w:szCs w:val="20"/>
        </w:rPr>
      </w:pPr>
      <w:r w:rsidRPr="002C6CCA">
        <w:rPr>
          <w:b/>
          <w:bCs/>
          <w:sz w:val="20"/>
          <w:szCs w:val="20"/>
        </w:rPr>
        <w:t>BUILDING MAINTENANCE AND OPERATION</w:t>
      </w:r>
      <w:r w:rsidR="003B2F16" w:rsidRPr="002C6CCA">
        <w:rPr>
          <w:b/>
          <w:bCs/>
          <w:sz w:val="20"/>
          <w:szCs w:val="20"/>
        </w:rPr>
        <w:t xml:space="preserve"> </w:t>
      </w:r>
      <w:r w:rsidR="00A7005E" w:rsidRPr="002C6CCA">
        <w:rPr>
          <w:bCs/>
          <w:sz w:val="20"/>
          <w:szCs w:val="20"/>
        </w:rPr>
        <w:t>(CGBSC 5.410)</w:t>
      </w:r>
    </w:p>
    <w:p w:rsidR="006F7CC4" w:rsidRDefault="003B2F16" w:rsidP="00E564A0">
      <w:pPr>
        <w:autoSpaceDE w:val="0"/>
        <w:autoSpaceDN w:val="0"/>
        <w:adjustRightInd w:val="0"/>
        <w:rPr>
          <w:b/>
          <w:bCs/>
          <w:sz w:val="20"/>
          <w:szCs w:val="20"/>
        </w:rPr>
      </w:pPr>
      <w:r w:rsidRPr="002C6CCA">
        <w:rPr>
          <w:b/>
          <w:bCs/>
          <w:sz w:val="20"/>
          <w:szCs w:val="20"/>
        </w:rPr>
        <w:t xml:space="preserve">RECYCLING BY OCCUPANTS </w:t>
      </w:r>
    </w:p>
    <w:p w:rsidR="009555ED" w:rsidRPr="002C6CCA" w:rsidRDefault="00C117A1" w:rsidP="00E564A0">
      <w:pPr>
        <w:autoSpaceDE w:val="0"/>
        <w:autoSpaceDN w:val="0"/>
        <w:adjustRightInd w:val="0"/>
        <w:rPr>
          <w:b/>
          <w:bCs/>
          <w:sz w:val="20"/>
          <w:szCs w:val="20"/>
        </w:rPr>
      </w:pPr>
      <w:r w:rsidRPr="00C117A1">
        <w:rPr>
          <w:b/>
        </w:rPr>
        <w:t>[</w:t>
      </w:r>
      <w:r w:rsidR="009555ED" w:rsidRPr="00C77A9C">
        <w:rPr>
          <w:b/>
        </w:rPr>
        <w:t>E]</w:t>
      </w:r>
      <w:r w:rsidR="009555ED" w:rsidRPr="003D557F">
        <w:t xml:space="preserve"> Applicable to an </w:t>
      </w:r>
      <w:r w:rsidR="009555ED">
        <w:t xml:space="preserve">addition that adds 1,000 square feet or more or has a valuation of $200,000, that </w:t>
      </w:r>
      <w:r w:rsidR="009555ED" w:rsidRPr="00116879">
        <w:rPr>
          <w:b/>
        </w:rPr>
        <w:t>also increases</w:t>
      </w:r>
      <w:r w:rsidR="009555ED">
        <w:t xml:space="preserve"> total floor area by at least 30% of existing floor area.</w:t>
      </w:r>
    </w:p>
    <w:p w:rsidR="001A62A0" w:rsidRPr="002C6CCA" w:rsidRDefault="007011FB" w:rsidP="00261F1F">
      <w:pPr>
        <w:autoSpaceDE w:val="0"/>
        <w:autoSpaceDN w:val="0"/>
        <w:adjustRightInd w:val="0"/>
        <w:ind w:left="720" w:hanging="720"/>
        <w:rPr>
          <w:bCs/>
        </w:rPr>
      </w:pPr>
      <w:r w:rsidRPr="002C6CCA">
        <w:rPr>
          <w:b/>
          <w:bCs/>
          <w:sz w:val="20"/>
          <w:szCs w:val="20"/>
          <w:u w:val="single"/>
        </w:rPr>
        <w:lastRenderedPageBreak/>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181B0F" w:rsidRPr="002C6CCA">
        <w:rPr>
          <w:b/>
          <w:bCs/>
          <w:sz w:val="20"/>
          <w:szCs w:val="20"/>
        </w:rPr>
        <w:tab/>
        <w:t xml:space="preserve">[P] </w:t>
      </w:r>
      <w:r w:rsidR="00E940B2" w:rsidRPr="002C6CCA">
        <w:rPr>
          <w:bCs/>
        </w:rPr>
        <w:t>Designated recycling areas shall be provided as required by sections 3-23-1 through 3-23-4 of the City of Irvine Zoning Code. See plan sheet</w:t>
      </w:r>
      <w:r w:rsidR="009555ED">
        <w:rPr>
          <w:bCs/>
        </w:rPr>
        <w:t>:</w:t>
      </w:r>
      <w:r w:rsidR="00E940B2" w:rsidRPr="002C6CCA">
        <w:rPr>
          <w:bCs/>
        </w:rPr>
        <w:t xml:space="preserve">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E940B2" w:rsidRPr="002C6CCA">
        <w:rPr>
          <w:bCs/>
        </w:rPr>
        <w:t>.</w:t>
      </w:r>
      <w:r w:rsidR="00E940B2" w:rsidRPr="002C6CCA">
        <w:rPr>
          <w:bCs/>
          <w:sz w:val="20"/>
          <w:szCs w:val="20"/>
        </w:rPr>
        <w:t xml:space="preserve"> </w:t>
      </w:r>
    </w:p>
    <w:p w:rsidR="001A62A0" w:rsidRPr="002C6CCA" w:rsidRDefault="001A62A0" w:rsidP="00261F1F">
      <w:pPr>
        <w:autoSpaceDE w:val="0"/>
        <w:autoSpaceDN w:val="0"/>
        <w:adjustRightInd w:val="0"/>
        <w:rPr>
          <w:bCs/>
        </w:rPr>
      </w:pPr>
    </w:p>
    <w:p w:rsidR="00887FB3" w:rsidRPr="009555ED" w:rsidRDefault="007011FB" w:rsidP="00261F1F">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
          <w:bCs/>
          <w:sz w:val="20"/>
          <w:szCs w:val="20"/>
        </w:rPr>
        <w:tab/>
      </w:r>
      <w:r w:rsidR="00A7005E" w:rsidRPr="002C6CCA">
        <w:rPr>
          <w:b/>
          <w:bCs/>
          <w:sz w:val="20"/>
          <w:szCs w:val="20"/>
        </w:rPr>
        <w:t xml:space="preserve">COMMISSIONING </w:t>
      </w:r>
      <w:r w:rsidR="009555ED">
        <w:rPr>
          <w:bCs/>
        </w:rPr>
        <w:t xml:space="preserve">Building Commissioning is </w:t>
      </w:r>
      <w:r w:rsidR="009555ED" w:rsidRPr="009555ED">
        <w:rPr>
          <w:b/>
          <w:bCs/>
        </w:rPr>
        <w:t>only</w:t>
      </w:r>
      <w:r w:rsidR="009555ED">
        <w:rPr>
          <w:bCs/>
        </w:rPr>
        <w:t xml:space="preserve"> required </w:t>
      </w:r>
      <w:r w:rsidR="009555ED" w:rsidRPr="009555ED">
        <w:rPr>
          <w:bCs/>
        </w:rPr>
        <w:t>f</w:t>
      </w:r>
      <w:r w:rsidR="00A7005E" w:rsidRPr="009555ED">
        <w:rPr>
          <w:bCs/>
        </w:rPr>
        <w:t xml:space="preserve">or </w:t>
      </w:r>
      <w:r w:rsidR="00961834" w:rsidRPr="009555ED">
        <w:rPr>
          <w:bCs/>
        </w:rPr>
        <w:t xml:space="preserve">new </w:t>
      </w:r>
      <w:r w:rsidR="00A7005E" w:rsidRPr="009555ED">
        <w:rPr>
          <w:bCs/>
        </w:rPr>
        <w:t xml:space="preserve">buildings </w:t>
      </w:r>
      <w:r w:rsidR="00961834" w:rsidRPr="009555ED">
        <w:rPr>
          <w:bCs/>
        </w:rPr>
        <w:t xml:space="preserve">or initial tenant improvements </w:t>
      </w:r>
      <w:r w:rsidR="009555ED">
        <w:rPr>
          <w:bCs/>
        </w:rPr>
        <w:t>greater than 10,000 square feet.</w:t>
      </w:r>
      <w:r w:rsidR="00A7005E" w:rsidRPr="009555ED">
        <w:rPr>
          <w:bCs/>
        </w:rPr>
        <w:t xml:space="preserve"> </w:t>
      </w:r>
      <w:r w:rsidR="00961834" w:rsidRPr="009555ED">
        <w:rPr>
          <w:bCs/>
        </w:rPr>
        <w:t>(Exceptions: Dry Storage Warehouses</w:t>
      </w:r>
      <w:r w:rsidR="003A38B0" w:rsidRPr="009555ED">
        <w:rPr>
          <w:bCs/>
        </w:rPr>
        <w:t xml:space="preserve"> </w:t>
      </w:r>
      <w:r w:rsidR="00961834" w:rsidRPr="009555ED">
        <w:rPr>
          <w:bCs/>
        </w:rPr>
        <w:t>and conditioned areas under 10,000 square feet</w:t>
      </w:r>
      <w:r w:rsidR="00E36846" w:rsidRPr="009555ED">
        <w:rPr>
          <w:bCs/>
        </w:rPr>
        <w:t>,</w:t>
      </w:r>
      <w:r w:rsidR="00961834" w:rsidRPr="009555ED">
        <w:rPr>
          <w:bCs/>
        </w:rPr>
        <w:t xml:space="preserve"> and accessory to dry storage warehouses.)  </w:t>
      </w:r>
    </w:p>
    <w:p w:rsidR="00961834" w:rsidRPr="002C6CCA" w:rsidRDefault="00961834" w:rsidP="00E564A0">
      <w:pPr>
        <w:autoSpaceDE w:val="0"/>
        <w:autoSpaceDN w:val="0"/>
        <w:adjustRightInd w:val="0"/>
        <w:rPr>
          <w:bCs/>
        </w:rPr>
      </w:pPr>
    </w:p>
    <w:p w:rsidR="001A62A0" w:rsidRPr="002C6CCA" w:rsidRDefault="00921F58" w:rsidP="00080F82">
      <w:pPr>
        <w:autoSpaceDE w:val="0"/>
        <w:autoSpaceDN w:val="0"/>
        <w:adjustRightInd w:val="0"/>
        <w:ind w:firstLine="720"/>
        <w:rPr>
          <w:b/>
          <w:bCs/>
          <w:sz w:val="20"/>
          <w:szCs w:val="20"/>
        </w:rPr>
      </w:pPr>
      <w:r w:rsidRPr="002C6CCA">
        <w:rPr>
          <w:b/>
          <w:bCs/>
          <w:sz w:val="20"/>
          <w:szCs w:val="20"/>
        </w:rPr>
        <w:t>Design</w:t>
      </w:r>
    </w:p>
    <w:p w:rsidR="00887FB3" w:rsidRPr="002C6CCA" w:rsidRDefault="00961834" w:rsidP="00080F82">
      <w:pPr>
        <w:autoSpaceDE w:val="0"/>
        <w:autoSpaceDN w:val="0"/>
        <w:adjustRightInd w:val="0"/>
        <w:ind w:left="720"/>
        <w:rPr>
          <w:bCs/>
        </w:rPr>
      </w:pPr>
      <w:r w:rsidRPr="002C6CCA">
        <w:rPr>
          <w:bCs/>
        </w:rPr>
        <w:t>U</w:t>
      </w:r>
      <w:r w:rsidR="00887FB3" w:rsidRPr="002C6CCA">
        <w:rPr>
          <w:bCs/>
        </w:rPr>
        <w:t>sing the</w:t>
      </w:r>
      <w:r w:rsidR="00A44136" w:rsidRPr="002C6CCA">
        <w:rPr>
          <w:bCs/>
        </w:rPr>
        <w:t xml:space="preserve"> templates available through the Californ</w:t>
      </w:r>
      <w:r w:rsidR="00887FB3" w:rsidRPr="002C6CCA">
        <w:rPr>
          <w:bCs/>
        </w:rPr>
        <w:t>ia</w:t>
      </w:r>
      <w:r w:rsidR="00A44136" w:rsidRPr="002C6CCA">
        <w:rPr>
          <w:bCs/>
        </w:rPr>
        <w:t xml:space="preserve"> Building Commission available </w:t>
      </w:r>
      <w:r w:rsidR="00887FB3" w:rsidRPr="002C6CCA">
        <w:rPr>
          <w:bCs/>
        </w:rPr>
        <w:t>in “Part 4 Suggested Forms and Templates”</w:t>
      </w:r>
      <w:r w:rsidR="003F0746">
        <w:rPr>
          <w:bCs/>
        </w:rPr>
        <w:t xml:space="preserve"> </w:t>
      </w:r>
      <w:r w:rsidR="00887FB3" w:rsidRPr="002C6CCA">
        <w:rPr>
          <w:bCs/>
        </w:rPr>
        <w:t>of the</w:t>
      </w:r>
      <w:r w:rsidR="003F0746">
        <w:rPr>
          <w:bCs/>
        </w:rPr>
        <w:t xml:space="preserve"> </w:t>
      </w:r>
      <w:hyperlink r:id="rId10" w:history="1">
        <w:r w:rsidR="003F0746">
          <w:rPr>
            <w:rStyle w:val="Hyperlink"/>
            <w:bCs/>
          </w:rPr>
          <w:t>Guide to t</w:t>
        </w:r>
        <w:r w:rsidR="003F0746">
          <w:rPr>
            <w:rStyle w:val="Hyperlink"/>
            <w:bCs/>
          </w:rPr>
          <w:t>h</w:t>
        </w:r>
        <w:r w:rsidR="003F0746">
          <w:rPr>
            <w:rStyle w:val="Hyperlink"/>
            <w:bCs/>
          </w:rPr>
          <w:t>e Nonresidential CalGreen Code</w:t>
        </w:r>
      </w:hyperlink>
      <w:r w:rsidR="003F0746">
        <w:rPr>
          <w:bCs/>
        </w:rPr>
        <w:t xml:space="preserve"> </w:t>
      </w:r>
      <w:r w:rsidR="00A44136" w:rsidRPr="002C6CCA">
        <w:rPr>
          <w:bCs/>
        </w:rPr>
        <w:t xml:space="preserve">at: </w:t>
      </w:r>
      <w:hyperlink r:id="rId11" w:history="1">
        <w:r w:rsidR="003F0746" w:rsidRPr="00556D07">
          <w:rPr>
            <w:rStyle w:val="Hyperlink"/>
            <w:bCs/>
          </w:rPr>
          <w:t>http://www.bsc.ca.gov/H</w:t>
        </w:r>
        <w:r w:rsidR="003F0746" w:rsidRPr="00556D07">
          <w:rPr>
            <w:rStyle w:val="Hyperlink"/>
            <w:bCs/>
          </w:rPr>
          <w:t>o</w:t>
        </w:r>
        <w:r w:rsidR="003F0746" w:rsidRPr="00556D07">
          <w:rPr>
            <w:rStyle w:val="Hyperlink"/>
            <w:bCs/>
          </w:rPr>
          <w:t>me/CA</w:t>
        </w:r>
        <w:r w:rsidR="003F0746" w:rsidRPr="00556D07">
          <w:rPr>
            <w:rStyle w:val="Hyperlink"/>
            <w:bCs/>
          </w:rPr>
          <w:t>L</w:t>
        </w:r>
        <w:r w:rsidR="003F0746" w:rsidRPr="00556D07">
          <w:rPr>
            <w:rStyle w:val="Hyperlink"/>
            <w:bCs/>
          </w:rPr>
          <w:t>Green.aspx</w:t>
        </w:r>
      </w:hyperlink>
      <w:r w:rsidR="0033187A">
        <w:rPr>
          <w:bCs/>
        </w:rPr>
        <w:t xml:space="preserve">, </w:t>
      </w:r>
      <w:r w:rsidR="00887FB3" w:rsidRPr="002C6CCA">
        <w:rPr>
          <w:bCs/>
        </w:rPr>
        <w:t>the following documents are complete and included in the plans as follows:</w:t>
      </w:r>
    </w:p>
    <w:p w:rsidR="00A44136" w:rsidRPr="002C6CCA" w:rsidRDefault="009277BB" w:rsidP="00887FB3">
      <w:pPr>
        <w:numPr>
          <w:ilvl w:val="0"/>
          <w:numId w:val="9"/>
        </w:numPr>
        <w:autoSpaceDE w:val="0"/>
        <w:autoSpaceDN w:val="0"/>
        <w:adjustRightInd w:val="0"/>
        <w:rPr>
          <w:bCs/>
        </w:rPr>
      </w:pPr>
      <w:r w:rsidRPr="002C6CCA">
        <w:rPr>
          <w:bCs/>
        </w:rPr>
        <w:t xml:space="preserve">Completed and signed </w:t>
      </w:r>
      <w:r w:rsidR="00A44136" w:rsidRPr="002C6CCA">
        <w:rPr>
          <w:bCs/>
        </w:rPr>
        <w:t>Owner’s Project Requirements</w:t>
      </w:r>
      <w:r w:rsidR="00F41591" w:rsidRPr="002C6CCA">
        <w:rPr>
          <w:bCs/>
        </w:rPr>
        <w:t xml:space="preserve"> (OPR)</w:t>
      </w:r>
      <w:r w:rsidR="00A44136" w:rsidRPr="002C6CCA">
        <w:rPr>
          <w:bCs/>
        </w:rPr>
        <w:t>,</w:t>
      </w:r>
      <w:r w:rsidR="00887FB3" w:rsidRPr="002C6CCA">
        <w:rPr>
          <w:bCs/>
        </w:rPr>
        <w:t xml:space="preserve"> see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417916" w:rsidRPr="002C6CCA">
        <w:rPr>
          <w:bCs/>
        </w:rPr>
        <w:t>.</w:t>
      </w:r>
    </w:p>
    <w:p w:rsidR="00887FB3" w:rsidRPr="002C6CCA" w:rsidRDefault="009277BB" w:rsidP="00887FB3">
      <w:pPr>
        <w:numPr>
          <w:ilvl w:val="0"/>
          <w:numId w:val="9"/>
        </w:numPr>
        <w:autoSpaceDE w:val="0"/>
        <w:autoSpaceDN w:val="0"/>
        <w:adjustRightInd w:val="0"/>
        <w:rPr>
          <w:bCs/>
        </w:rPr>
      </w:pPr>
      <w:r w:rsidRPr="002C6CCA">
        <w:rPr>
          <w:bCs/>
        </w:rPr>
        <w:t xml:space="preserve">Completed and signed </w:t>
      </w:r>
      <w:r w:rsidR="00887FB3" w:rsidRPr="002C6CCA">
        <w:rPr>
          <w:bCs/>
        </w:rPr>
        <w:t>Basis of Design</w:t>
      </w:r>
      <w:r w:rsidR="00F41591" w:rsidRPr="002C6CCA">
        <w:rPr>
          <w:bCs/>
        </w:rPr>
        <w:t xml:space="preserve"> (BOD)</w:t>
      </w:r>
      <w:r w:rsidR="00887FB3" w:rsidRPr="002C6CCA">
        <w:rPr>
          <w:bCs/>
        </w:rPr>
        <w:t xml:space="preserve">, see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417916" w:rsidRPr="002C6CCA">
        <w:rPr>
          <w:bCs/>
        </w:rPr>
        <w:t>.</w:t>
      </w:r>
    </w:p>
    <w:p w:rsidR="00417916" w:rsidRPr="002C6CCA" w:rsidRDefault="009277BB" w:rsidP="00887FB3">
      <w:pPr>
        <w:numPr>
          <w:ilvl w:val="0"/>
          <w:numId w:val="9"/>
        </w:numPr>
        <w:autoSpaceDE w:val="0"/>
        <w:autoSpaceDN w:val="0"/>
        <w:adjustRightInd w:val="0"/>
        <w:rPr>
          <w:bCs/>
        </w:rPr>
      </w:pPr>
      <w:r w:rsidRPr="002C6CCA">
        <w:rPr>
          <w:bCs/>
        </w:rPr>
        <w:t xml:space="preserve">Commissioning Plan, including a completed and signed “Commissioning Plan” form and </w:t>
      </w:r>
      <w:r w:rsidR="00417916" w:rsidRPr="002C6CCA">
        <w:rPr>
          <w:bCs/>
        </w:rPr>
        <w:t xml:space="preserve">complete coverage of </w:t>
      </w:r>
      <w:r w:rsidRPr="002C6CCA">
        <w:rPr>
          <w:bCs/>
        </w:rPr>
        <w:t>each of the elements 1-9 as specified therein.</w:t>
      </w:r>
      <w:r w:rsidR="00417916" w:rsidRPr="002C6CCA">
        <w:rPr>
          <w:bCs/>
        </w:rPr>
        <w:t xml:space="preserve"> Functional performance testing shall utilize templates available at the above referenced website, see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417916" w:rsidRPr="002C6CCA">
        <w:rPr>
          <w:bCs/>
        </w:rPr>
        <w:t>.</w:t>
      </w:r>
    </w:p>
    <w:p w:rsidR="00A7005E" w:rsidRPr="002C6CCA" w:rsidRDefault="00A7005E" w:rsidP="00E564A0">
      <w:pPr>
        <w:autoSpaceDE w:val="0"/>
        <w:autoSpaceDN w:val="0"/>
        <w:adjustRightInd w:val="0"/>
        <w:rPr>
          <w:bCs/>
        </w:rPr>
      </w:pPr>
    </w:p>
    <w:p w:rsidR="003B2F16" w:rsidRPr="002C6CCA" w:rsidRDefault="00417916" w:rsidP="00080F82">
      <w:pPr>
        <w:autoSpaceDE w:val="0"/>
        <w:autoSpaceDN w:val="0"/>
        <w:adjustRightInd w:val="0"/>
        <w:ind w:firstLine="720"/>
        <w:rPr>
          <w:b/>
          <w:bCs/>
          <w:sz w:val="20"/>
          <w:szCs w:val="20"/>
        </w:rPr>
      </w:pPr>
      <w:r w:rsidRPr="002C6CCA">
        <w:rPr>
          <w:b/>
          <w:bCs/>
          <w:sz w:val="20"/>
          <w:szCs w:val="20"/>
        </w:rPr>
        <w:t>Construction</w:t>
      </w:r>
      <w:r w:rsidR="005E4EFE" w:rsidRPr="002C6CCA">
        <w:rPr>
          <w:b/>
          <w:bCs/>
          <w:sz w:val="20"/>
          <w:szCs w:val="20"/>
        </w:rPr>
        <w:t>-Prior to Final Inspection Approval</w:t>
      </w:r>
    </w:p>
    <w:p w:rsidR="00C60826" w:rsidRPr="002C6CCA" w:rsidRDefault="00C60826" w:rsidP="005E4EFE">
      <w:pPr>
        <w:numPr>
          <w:ilvl w:val="0"/>
          <w:numId w:val="10"/>
        </w:numPr>
        <w:autoSpaceDE w:val="0"/>
        <w:autoSpaceDN w:val="0"/>
        <w:adjustRightInd w:val="0"/>
        <w:rPr>
          <w:color w:val="231F20"/>
        </w:rPr>
      </w:pPr>
      <w:r w:rsidRPr="002C6CCA">
        <w:t xml:space="preserve">A completed </w:t>
      </w:r>
      <w:r w:rsidR="001A5C63" w:rsidRPr="002C6CCA">
        <w:rPr>
          <w:u w:val="single"/>
        </w:rPr>
        <w:t>Co</w:t>
      </w:r>
      <w:r w:rsidRPr="002C6CCA">
        <w:rPr>
          <w:u w:val="single"/>
        </w:rPr>
        <w:t xml:space="preserve">mmissioning </w:t>
      </w:r>
      <w:r w:rsidR="001A5C63" w:rsidRPr="002C6CCA">
        <w:rPr>
          <w:u w:val="single"/>
        </w:rPr>
        <w:t>R</w:t>
      </w:r>
      <w:r w:rsidRPr="002C6CCA">
        <w:rPr>
          <w:u w:val="single"/>
        </w:rPr>
        <w:t>eport</w:t>
      </w:r>
      <w:r w:rsidRPr="002C6CCA">
        <w:t xml:space="preserve"> shall be provided to the </w:t>
      </w:r>
      <w:r w:rsidR="005E4EFE" w:rsidRPr="002C6CCA">
        <w:t>City I</w:t>
      </w:r>
      <w:r w:rsidRPr="002C6CCA">
        <w:t xml:space="preserve">nspector prior to final inspection approval. Contents, pursuant to section 5.410.2.6, shall include a description of the </w:t>
      </w:r>
      <w:r w:rsidRPr="002C6CCA">
        <w:rPr>
          <w:color w:val="231F20"/>
        </w:rPr>
        <w:t>commissioning process activities undertaken through the design, construction and reporting recommendations for post</w:t>
      </w:r>
      <w:r w:rsidR="0083700D" w:rsidRPr="002C6CCA">
        <w:rPr>
          <w:color w:val="231F20"/>
        </w:rPr>
        <w:t xml:space="preserve"> </w:t>
      </w:r>
      <w:r w:rsidRPr="002C6CCA">
        <w:rPr>
          <w:color w:val="231F20"/>
        </w:rPr>
        <w:t xml:space="preserve">construction phases. In addition all </w:t>
      </w:r>
      <w:r w:rsidR="005E4EFE" w:rsidRPr="002C6CCA">
        <w:rPr>
          <w:color w:val="231F20"/>
        </w:rPr>
        <w:t>required functional performance testing reports shall be included.</w:t>
      </w:r>
    </w:p>
    <w:p w:rsidR="001A5C63" w:rsidRPr="002C6CCA" w:rsidRDefault="001A5C63" w:rsidP="005E4EFE">
      <w:pPr>
        <w:numPr>
          <w:ilvl w:val="0"/>
          <w:numId w:val="10"/>
        </w:numPr>
        <w:autoSpaceDE w:val="0"/>
        <w:autoSpaceDN w:val="0"/>
        <w:adjustRightInd w:val="0"/>
        <w:rPr>
          <w:color w:val="231F20"/>
        </w:rPr>
      </w:pPr>
      <w:r w:rsidRPr="002C6CCA">
        <w:t xml:space="preserve">A completed </w:t>
      </w:r>
      <w:r w:rsidRPr="002C6CCA">
        <w:rPr>
          <w:u w:val="single"/>
        </w:rPr>
        <w:t>Systems Manual</w:t>
      </w:r>
      <w:r w:rsidRPr="002C6CCA">
        <w:t xml:space="preserve"> shall be made available for review by the City Inspector prior to final inspection approval. Contents shall include a </w:t>
      </w:r>
      <w:r w:rsidRPr="002C6CCA">
        <w:rPr>
          <w:bCs/>
        </w:rPr>
        <w:t xml:space="preserve">completed and signed “System Manual” form </w:t>
      </w:r>
      <w:r w:rsidR="00D80D23" w:rsidRPr="002C6CCA">
        <w:rPr>
          <w:bCs/>
        </w:rPr>
        <w:t xml:space="preserve">from the above referenced website </w:t>
      </w:r>
      <w:r w:rsidRPr="002C6CCA">
        <w:rPr>
          <w:bCs/>
        </w:rPr>
        <w:t>and complete coverage of each of the elements 1-7 as specified therein.</w:t>
      </w:r>
    </w:p>
    <w:p w:rsidR="00C60826" w:rsidRPr="002C6CCA" w:rsidRDefault="00C60826" w:rsidP="00C60826">
      <w:pPr>
        <w:autoSpaceDE w:val="0"/>
        <w:autoSpaceDN w:val="0"/>
        <w:adjustRightInd w:val="0"/>
        <w:rPr>
          <w:color w:val="231F20"/>
        </w:rPr>
      </w:pPr>
    </w:p>
    <w:p w:rsidR="001A5C63" w:rsidRPr="002C6CCA" w:rsidRDefault="001A5C63" w:rsidP="00080F82">
      <w:pPr>
        <w:autoSpaceDE w:val="0"/>
        <w:autoSpaceDN w:val="0"/>
        <w:adjustRightInd w:val="0"/>
        <w:ind w:left="720"/>
        <w:rPr>
          <w:bCs/>
        </w:rPr>
      </w:pPr>
      <w:r w:rsidRPr="002C6CCA">
        <w:rPr>
          <w:bCs/>
        </w:rPr>
        <w:t>Note: Approved equals may be substituted for the forms specified herein</w:t>
      </w:r>
      <w:r w:rsidR="007C1975" w:rsidRPr="002C6CCA">
        <w:rPr>
          <w:bCs/>
        </w:rPr>
        <w:t xml:space="preserve"> </w:t>
      </w:r>
      <w:r w:rsidR="00557E63" w:rsidRPr="002C6CCA">
        <w:rPr>
          <w:bCs/>
        </w:rPr>
        <w:t xml:space="preserve">which may </w:t>
      </w:r>
      <w:r w:rsidR="007C1975" w:rsidRPr="002C6CCA">
        <w:rPr>
          <w:bCs/>
        </w:rPr>
        <w:t>includ</w:t>
      </w:r>
      <w:r w:rsidR="00557E63" w:rsidRPr="002C6CCA">
        <w:rPr>
          <w:bCs/>
        </w:rPr>
        <w:t>e</w:t>
      </w:r>
      <w:r w:rsidR="007C1975" w:rsidRPr="002C6CCA">
        <w:rPr>
          <w:bCs/>
        </w:rPr>
        <w:t xml:space="preserve"> acceptance forms required under the California Building Energy Efficiency Standards</w:t>
      </w:r>
      <w:r w:rsidRPr="002C6CCA">
        <w:rPr>
          <w:bCs/>
        </w:rPr>
        <w:t xml:space="preserve">.   </w:t>
      </w:r>
    </w:p>
    <w:p w:rsidR="000B1F94" w:rsidRPr="002C6CCA" w:rsidRDefault="000B1F94" w:rsidP="00E85838">
      <w:pPr>
        <w:autoSpaceDE w:val="0"/>
        <w:autoSpaceDN w:val="0"/>
        <w:adjustRightInd w:val="0"/>
        <w:rPr>
          <w:b/>
          <w:bCs/>
          <w:sz w:val="20"/>
          <w:szCs w:val="20"/>
        </w:rPr>
      </w:pPr>
    </w:p>
    <w:p w:rsidR="00200E3D" w:rsidRPr="002C6CCA" w:rsidRDefault="007011FB" w:rsidP="00080F82">
      <w:pPr>
        <w:autoSpaceDE w:val="0"/>
        <w:autoSpaceDN w:val="0"/>
        <w:adjustRightInd w:val="0"/>
        <w:ind w:left="720" w:hanging="720"/>
        <w:rPr>
          <w:b/>
          <w:bCs/>
          <w:sz w:val="20"/>
          <w:szCs w:val="20"/>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
          <w:bCs/>
          <w:sz w:val="20"/>
          <w:szCs w:val="20"/>
        </w:rPr>
        <w:tab/>
      </w:r>
      <w:r w:rsidR="00727817">
        <w:rPr>
          <w:b/>
          <w:bCs/>
          <w:sz w:val="20"/>
          <w:szCs w:val="20"/>
        </w:rPr>
        <w:t xml:space="preserve">TESTING AND ADJUSTING.  </w:t>
      </w:r>
      <w:r w:rsidR="00727817">
        <w:rPr>
          <w:bCs/>
        </w:rPr>
        <w:t xml:space="preserve">For buildings not exceeding 10,000 square feet, </w:t>
      </w:r>
      <w:r w:rsidR="00727817" w:rsidRPr="00C77A9C">
        <w:rPr>
          <w:b/>
          <w:bCs/>
        </w:rPr>
        <w:t>[E]</w:t>
      </w:r>
      <w:r w:rsidR="00727817">
        <w:rPr>
          <w:bCs/>
        </w:rPr>
        <w:t xml:space="preserve"> and any new system serving an addition of 1,000 or more square feet or a tenant improvement having a valuation of $200,000, testing and adjusting are required.</w:t>
      </w:r>
    </w:p>
    <w:p w:rsidR="00200E3D" w:rsidRPr="002C6CCA" w:rsidRDefault="00200E3D" w:rsidP="00F24BB9">
      <w:pPr>
        <w:autoSpaceDE w:val="0"/>
        <w:autoSpaceDN w:val="0"/>
        <w:adjustRightInd w:val="0"/>
        <w:rPr>
          <w:b/>
          <w:bCs/>
          <w:sz w:val="20"/>
          <w:szCs w:val="20"/>
        </w:rPr>
      </w:pPr>
    </w:p>
    <w:p w:rsidR="00200E3D" w:rsidRPr="002C6CCA" w:rsidRDefault="00200E3D" w:rsidP="00080F82">
      <w:pPr>
        <w:autoSpaceDE w:val="0"/>
        <w:autoSpaceDN w:val="0"/>
        <w:adjustRightInd w:val="0"/>
        <w:ind w:firstLine="720"/>
        <w:rPr>
          <w:b/>
          <w:bCs/>
          <w:sz w:val="20"/>
          <w:szCs w:val="20"/>
        </w:rPr>
      </w:pPr>
      <w:r w:rsidRPr="002C6CCA">
        <w:rPr>
          <w:b/>
          <w:bCs/>
          <w:sz w:val="20"/>
          <w:szCs w:val="20"/>
        </w:rPr>
        <w:t>Design</w:t>
      </w:r>
    </w:p>
    <w:p w:rsidR="00C437D5" w:rsidRPr="002C6CCA" w:rsidRDefault="00C437D5" w:rsidP="00080F82">
      <w:pPr>
        <w:autoSpaceDE w:val="0"/>
        <w:autoSpaceDN w:val="0"/>
        <w:adjustRightInd w:val="0"/>
        <w:ind w:left="720"/>
        <w:rPr>
          <w:bCs/>
        </w:rPr>
      </w:pPr>
      <w:r w:rsidRPr="002C6CCA">
        <w:rPr>
          <w:bCs/>
        </w:rPr>
        <w:t xml:space="preserve">See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Pr="002C6CCA">
        <w:rPr>
          <w:bCs/>
        </w:rPr>
        <w:t xml:space="preserve"> for </w:t>
      </w:r>
      <w:r w:rsidRPr="002C6CCA">
        <w:rPr>
          <w:bCs/>
          <w:u w:val="single"/>
        </w:rPr>
        <w:t>p</w:t>
      </w:r>
      <w:r w:rsidR="00F24BB9" w:rsidRPr="002C6CCA">
        <w:rPr>
          <w:bCs/>
          <w:u w:val="single"/>
        </w:rPr>
        <w:t>rocedures for testing and adjusting sy</w:t>
      </w:r>
      <w:r w:rsidRPr="002C6CCA">
        <w:rPr>
          <w:bCs/>
          <w:u w:val="single"/>
        </w:rPr>
        <w:t>s</w:t>
      </w:r>
      <w:r w:rsidR="00F24BB9" w:rsidRPr="002C6CCA">
        <w:rPr>
          <w:bCs/>
          <w:u w:val="single"/>
        </w:rPr>
        <w:t>tems</w:t>
      </w:r>
      <w:r w:rsidRPr="002C6CCA">
        <w:rPr>
          <w:bCs/>
        </w:rPr>
        <w:t>,</w:t>
      </w:r>
      <w:r w:rsidR="00F24BB9" w:rsidRPr="002C6CCA">
        <w:rPr>
          <w:bCs/>
        </w:rPr>
        <w:t xml:space="preserve"> which includes</w:t>
      </w:r>
      <w:r w:rsidRPr="002C6CCA">
        <w:rPr>
          <w:bCs/>
        </w:rPr>
        <w:t>:</w:t>
      </w:r>
    </w:p>
    <w:p w:rsidR="00C437D5" w:rsidRPr="002C6CCA" w:rsidRDefault="00C437D5" w:rsidP="00C437D5">
      <w:pPr>
        <w:numPr>
          <w:ilvl w:val="0"/>
          <w:numId w:val="12"/>
        </w:numPr>
        <w:autoSpaceDE w:val="0"/>
        <w:autoSpaceDN w:val="0"/>
        <w:adjustRightInd w:val="0"/>
        <w:rPr>
          <w:bCs/>
        </w:rPr>
      </w:pPr>
      <w:r w:rsidRPr="002C6CCA">
        <w:rPr>
          <w:bCs/>
        </w:rPr>
        <w:t>HVAC systems and controls.</w:t>
      </w:r>
    </w:p>
    <w:p w:rsidR="00C437D5" w:rsidRPr="002C6CCA" w:rsidRDefault="00C437D5" w:rsidP="00984CA2">
      <w:pPr>
        <w:numPr>
          <w:ilvl w:val="0"/>
          <w:numId w:val="12"/>
        </w:numPr>
        <w:autoSpaceDE w:val="0"/>
        <w:autoSpaceDN w:val="0"/>
        <w:adjustRightInd w:val="0"/>
        <w:rPr>
          <w:bCs/>
        </w:rPr>
      </w:pPr>
      <w:r w:rsidRPr="002C6CCA">
        <w:rPr>
          <w:bCs/>
        </w:rPr>
        <w:t xml:space="preserve">HVAC balancing per </w:t>
      </w:r>
      <w:r w:rsidRPr="002C6CCA">
        <w:rPr>
          <w:color w:val="231F20"/>
        </w:rPr>
        <w:t>the Testing Adjusting and Balancing</w:t>
      </w:r>
      <w:r w:rsidRPr="002C6CCA">
        <w:rPr>
          <w:bCs/>
        </w:rPr>
        <w:t xml:space="preserve"> </w:t>
      </w:r>
      <w:r w:rsidRPr="002C6CCA">
        <w:rPr>
          <w:color w:val="231F20"/>
        </w:rPr>
        <w:t>Bureau National Standards; the National Environmental</w:t>
      </w:r>
      <w:r w:rsidRPr="002C6CCA">
        <w:rPr>
          <w:bCs/>
        </w:rPr>
        <w:t xml:space="preserve"> </w:t>
      </w:r>
      <w:r w:rsidRPr="002C6CCA">
        <w:rPr>
          <w:color w:val="231F20"/>
        </w:rPr>
        <w:t>Balancing Bureau Procedural Standards; or Associated</w:t>
      </w:r>
      <w:r w:rsidR="00984CA2" w:rsidRPr="002C6CCA">
        <w:rPr>
          <w:bCs/>
        </w:rPr>
        <w:t xml:space="preserve"> </w:t>
      </w:r>
      <w:r w:rsidRPr="002C6CCA">
        <w:rPr>
          <w:color w:val="231F20"/>
        </w:rPr>
        <w:t>Air Balance Council National Standards or approved</w:t>
      </w:r>
      <w:r w:rsidR="00984CA2" w:rsidRPr="002C6CCA">
        <w:rPr>
          <w:color w:val="231F20"/>
        </w:rPr>
        <w:t xml:space="preserve"> equal.</w:t>
      </w:r>
    </w:p>
    <w:p w:rsidR="00C437D5" w:rsidRPr="002C6CCA" w:rsidRDefault="00C437D5" w:rsidP="00C437D5">
      <w:pPr>
        <w:numPr>
          <w:ilvl w:val="0"/>
          <w:numId w:val="12"/>
        </w:numPr>
        <w:autoSpaceDE w:val="0"/>
        <w:autoSpaceDN w:val="0"/>
        <w:adjustRightInd w:val="0"/>
        <w:rPr>
          <w:bCs/>
        </w:rPr>
      </w:pPr>
      <w:r w:rsidRPr="002C6CCA">
        <w:rPr>
          <w:bCs/>
        </w:rPr>
        <w:t xml:space="preserve">Indoor and outdoor lighting and controls. </w:t>
      </w:r>
    </w:p>
    <w:p w:rsidR="00C437D5" w:rsidRPr="002C6CCA" w:rsidRDefault="00C437D5" w:rsidP="00C437D5">
      <w:pPr>
        <w:numPr>
          <w:ilvl w:val="0"/>
          <w:numId w:val="12"/>
        </w:numPr>
        <w:autoSpaceDE w:val="0"/>
        <w:autoSpaceDN w:val="0"/>
        <w:adjustRightInd w:val="0"/>
        <w:rPr>
          <w:bCs/>
        </w:rPr>
      </w:pPr>
      <w:r w:rsidRPr="002C6CCA">
        <w:rPr>
          <w:bCs/>
        </w:rPr>
        <w:t>Water heating systems.</w:t>
      </w:r>
    </w:p>
    <w:p w:rsidR="00C437D5" w:rsidRPr="002C6CCA" w:rsidRDefault="00C437D5" w:rsidP="00C437D5">
      <w:pPr>
        <w:numPr>
          <w:ilvl w:val="0"/>
          <w:numId w:val="12"/>
        </w:numPr>
        <w:autoSpaceDE w:val="0"/>
        <w:autoSpaceDN w:val="0"/>
        <w:adjustRightInd w:val="0"/>
        <w:rPr>
          <w:bCs/>
        </w:rPr>
      </w:pPr>
      <w:r w:rsidRPr="002C6CCA">
        <w:rPr>
          <w:bCs/>
        </w:rPr>
        <w:t>Renewable energy systems.</w:t>
      </w:r>
    </w:p>
    <w:p w:rsidR="00C437D5" w:rsidRPr="002C6CCA" w:rsidRDefault="00C437D5" w:rsidP="00C437D5">
      <w:pPr>
        <w:numPr>
          <w:ilvl w:val="0"/>
          <w:numId w:val="12"/>
        </w:numPr>
        <w:autoSpaceDE w:val="0"/>
        <w:autoSpaceDN w:val="0"/>
        <w:adjustRightInd w:val="0"/>
        <w:rPr>
          <w:bCs/>
        </w:rPr>
      </w:pPr>
      <w:r w:rsidRPr="002C6CCA">
        <w:rPr>
          <w:bCs/>
        </w:rPr>
        <w:t>Landscape irrigation systems.</w:t>
      </w:r>
    </w:p>
    <w:p w:rsidR="00F24BB9" w:rsidRPr="002C6CCA" w:rsidRDefault="00C437D5" w:rsidP="00C437D5">
      <w:pPr>
        <w:numPr>
          <w:ilvl w:val="0"/>
          <w:numId w:val="12"/>
        </w:numPr>
        <w:autoSpaceDE w:val="0"/>
        <w:autoSpaceDN w:val="0"/>
        <w:adjustRightInd w:val="0"/>
        <w:rPr>
          <w:bCs/>
        </w:rPr>
      </w:pPr>
      <w:r w:rsidRPr="002C6CCA">
        <w:rPr>
          <w:bCs/>
        </w:rPr>
        <w:lastRenderedPageBreak/>
        <w:t>Water reuse systems.</w:t>
      </w:r>
    </w:p>
    <w:p w:rsidR="00D77842" w:rsidRPr="002C6CCA" w:rsidRDefault="00D77842" w:rsidP="00E85838">
      <w:pPr>
        <w:autoSpaceDE w:val="0"/>
        <w:autoSpaceDN w:val="0"/>
        <w:adjustRightInd w:val="0"/>
        <w:rPr>
          <w:b/>
          <w:bCs/>
        </w:rPr>
      </w:pPr>
    </w:p>
    <w:p w:rsidR="00984CA2" w:rsidRPr="002C6CCA" w:rsidRDefault="00984CA2" w:rsidP="00080F82">
      <w:pPr>
        <w:autoSpaceDE w:val="0"/>
        <w:autoSpaceDN w:val="0"/>
        <w:adjustRightInd w:val="0"/>
        <w:ind w:left="720"/>
        <w:rPr>
          <w:bCs/>
        </w:rPr>
      </w:pPr>
      <w:r w:rsidRPr="002C6CCA">
        <w:rPr>
          <w:bCs/>
        </w:rPr>
        <w:t xml:space="preserve">Functional performance </w:t>
      </w:r>
      <w:r w:rsidR="00D4344F" w:rsidRPr="002C6CCA">
        <w:rPr>
          <w:bCs/>
        </w:rPr>
        <w:t xml:space="preserve">testing </w:t>
      </w:r>
      <w:r w:rsidR="006B664A" w:rsidRPr="002C6CCA">
        <w:rPr>
          <w:bCs/>
        </w:rPr>
        <w:t xml:space="preserve">report scope </w:t>
      </w:r>
      <w:r w:rsidR="00325A59" w:rsidRPr="002C6CCA">
        <w:rPr>
          <w:bCs/>
        </w:rPr>
        <w:t xml:space="preserve">and </w:t>
      </w:r>
      <w:r w:rsidR="006B664A" w:rsidRPr="002C6CCA">
        <w:rPr>
          <w:bCs/>
        </w:rPr>
        <w:t>content shall be consistent with CALGreen Compliance Form</w:t>
      </w:r>
      <w:r w:rsidR="00D4344F" w:rsidRPr="002C6CCA">
        <w:rPr>
          <w:bCs/>
        </w:rPr>
        <w:t xml:space="preserve"> “Functional Performance Testing”</w:t>
      </w:r>
      <w:r w:rsidR="006B664A" w:rsidRPr="002C6CCA">
        <w:rPr>
          <w:bCs/>
        </w:rPr>
        <w:t xml:space="preserve"> </w:t>
      </w:r>
      <w:r w:rsidRPr="002C6CCA">
        <w:rPr>
          <w:bCs/>
        </w:rPr>
        <w:t>available</w:t>
      </w:r>
      <w:r w:rsidR="006B664A" w:rsidRPr="002C6CCA">
        <w:rPr>
          <w:bCs/>
        </w:rPr>
        <w:t xml:space="preserve"> in the</w:t>
      </w:r>
      <w:r w:rsidR="003F0746">
        <w:rPr>
          <w:bCs/>
        </w:rPr>
        <w:t xml:space="preserve"> </w:t>
      </w:r>
      <w:hyperlink r:id="rId12" w:history="1">
        <w:r w:rsidR="003F0746">
          <w:rPr>
            <w:rStyle w:val="Hyperlink"/>
            <w:bCs/>
          </w:rPr>
          <w:t>Gui</w:t>
        </w:r>
        <w:r w:rsidR="003F0746">
          <w:rPr>
            <w:rStyle w:val="Hyperlink"/>
            <w:bCs/>
          </w:rPr>
          <w:t>d</w:t>
        </w:r>
        <w:r w:rsidR="003F0746">
          <w:rPr>
            <w:rStyle w:val="Hyperlink"/>
            <w:bCs/>
          </w:rPr>
          <w:t>e to Nonresidential Commissioning</w:t>
        </w:r>
      </w:hyperlink>
      <w:r w:rsidR="003F0746">
        <w:rPr>
          <w:bCs/>
        </w:rPr>
        <w:t xml:space="preserve"> </w:t>
      </w:r>
      <w:r w:rsidR="006B664A" w:rsidRPr="003F0746">
        <w:rPr>
          <w:bCs/>
        </w:rPr>
        <w:t>Guide to Nonresidential Commissioning</w:t>
      </w:r>
      <w:r w:rsidR="006B664A" w:rsidRPr="002C6CCA">
        <w:rPr>
          <w:bCs/>
        </w:rPr>
        <w:t xml:space="preserve"> at</w:t>
      </w:r>
      <w:r w:rsidR="0033187A">
        <w:rPr>
          <w:bCs/>
        </w:rPr>
        <w:t xml:space="preserve"> </w:t>
      </w:r>
      <w:hyperlink r:id="rId13" w:history="1">
        <w:r w:rsidR="003F0746" w:rsidRPr="00556D07">
          <w:rPr>
            <w:rStyle w:val="Hyperlink"/>
            <w:bCs/>
          </w:rPr>
          <w:t>http://www.bsc.ca.go</w:t>
        </w:r>
        <w:r w:rsidR="003F0746" w:rsidRPr="00556D07">
          <w:rPr>
            <w:rStyle w:val="Hyperlink"/>
            <w:bCs/>
          </w:rPr>
          <w:t>v</w:t>
        </w:r>
        <w:r w:rsidR="003F0746" w:rsidRPr="00556D07">
          <w:rPr>
            <w:rStyle w:val="Hyperlink"/>
            <w:bCs/>
          </w:rPr>
          <w:t>/Home/CALG</w:t>
        </w:r>
        <w:r w:rsidR="003F0746" w:rsidRPr="00556D07">
          <w:rPr>
            <w:rStyle w:val="Hyperlink"/>
            <w:bCs/>
          </w:rPr>
          <w:t>r</w:t>
        </w:r>
        <w:r w:rsidR="003F0746" w:rsidRPr="00556D07">
          <w:rPr>
            <w:rStyle w:val="Hyperlink"/>
            <w:bCs/>
          </w:rPr>
          <w:t>een.aspx</w:t>
        </w:r>
      </w:hyperlink>
      <w:r w:rsidRPr="002C6CCA">
        <w:rPr>
          <w:bCs/>
        </w:rPr>
        <w:t>, or approved equals</w:t>
      </w:r>
      <w:r w:rsidR="007C1975" w:rsidRPr="002C6CCA">
        <w:rPr>
          <w:bCs/>
        </w:rPr>
        <w:t xml:space="preserve"> </w:t>
      </w:r>
      <w:r w:rsidR="004B48BB" w:rsidRPr="002C6CCA">
        <w:rPr>
          <w:bCs/>
        </w:rPr>
        <w:t xml:space="preserve">and </w:t>
      </w:r>
      <w:r w:rsidR="00557E63" w:rsidRPr="002C6CCA">
        <w:rPr>
          <w:bCs/>
        </w:rPr>
        <w:t xml:space="preserve">may </w:t>
      </w:r>
      <w:r w:rsidR="004B48BB" w:rsidRPr="002C6CCA">
        <w:rPr>
          <w:bCs/>
        </w:rPr>
        <w:t xml:space="preserve">incorporate </w:t>
      </w:r>
      <w:r w:rsidR="007C1975" w:rsidRPr="002C6CCA">
        <w:rPr>
          <w:bCs/>
        </w:rPr>
        <w:t>acceptance forms required under the California Building Energy Efficiency Standards.</w:t>
      </w:r>
      <w:r w:rsidRPr="002C6CCA">
        <w:rPr>
          <w:bCs/>
        </w:rPr>
        <w:t xml:space="preserve"> For ite</w:t>
      </w:r>
      <w:r w:rsidR="007C1975" w:rsidRPr="002C6CCA">
        <w:rPr>
          <w:bCs/>
        </w:rPr>
        <w:t xml:space="preserve">mized list of functional tests required </w:t>
      </w:r>
      <w:r w:rsidRPr="002C6CCA">
        <w:rPr>
          <w:bCs/>
        </w:rPr>
        <w:t xml:space="preserve">see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Pr="002C6CCA">
        <w:rPr>
          <w:bCs/>
        </w:rPr>
        <w:t>.</w:t>
      </w:r>
    </w:p>
    <w:p w:rsidR="00200E3D" w:rsidRPr="002C6CCA" w:rsidRDefault="00200E3D" w:rsidP="00200E3D">
      <w:pPr>
        <w:autoSpaceDE w:val="0"/>
        <w:autoSpaceDN w:val="0"/>
        <w:adjustRightInd w:val="0"/>
        <w:rPr>
          <w:b/>
          <w:bCs/>
          <w:sz w:val="20"/>
          <w:szCs w:val="20"/>
        </w:rPr>
      </w:pPr>
    </w:p>
    <w:p w:rsidR="00200E3D" w:rsidRPr="002C6CCA" w:rsidRDefault="00200E3D" w:rsidP="00080F82">
      <w:pPr>
        <w:autoSpaceDE w:val="0"/>
        <w:autoSpaceDN w:val="0"/>
        <w:adjustRightInd w:val="0"/>
        <w:ind w:firstLine="720"/>
        <w:rPr>
          <w:b/>
          <w:bCs/>
          <w:sz w:val="20"/>
          <w:szCs w:val="20"/>
        </w:rPr>
      </w:pPr>
      <w:r w:rsidRPr="002C6CCA">
        <w:rPr>
          <w:b/>
          <w:bCs/>
          <w:sz w:val="20"/>
          <w:szCs w:val="20"/>
        </w:rPr>
        <w:t>Construction-Prior to Final Inspection Approval</w:t>
      </w:r>
    </w:p>
    <w:p w:rsidR="00200E3D" w:rsidRPr="002C6CCA" w:rsidRDefault="00750C94" w:rsidP="00080F82">
      <w:pPr>
        <w:autoSpaceDE w:val="0"/>
        <w:autoSpaceDN w:val="0"/>
        <w:adjustRightInd w:val="0"/>
        <w:ind w:left="720"/>
        <w:rPr>
          <w:color w:val="231F20"/>
        </w:rPr>
      </w:pPr>
      <w:r w:rsidRPr="002C6CCA">
        <w:t>Completed</w:t>
      </w:r>
      <w:r w:rsidR="00200E3D" w:rsidRPr="002C6CCA">
        <w:t xml:space="preserve"> </w:t>
      </w:r>
      <w:r w:rsidRPr="002C6CCA">
        <w:t>testing, adjusting, and balancing report</w:t>
      </w:r>
      <w:r w:rsidR="00557E63" w:rsidRPr="002C6CCA">
        <w:t xml:space="preserve">s </w:t>
      </w:r>
      <w:r w:rsidR="00200E3D" w:rsidRPr="002C6CCA">
        <w:t>shall be provided to the City Inspector prior to final inspection approval. Contents</w:t>
      </w:r>
      <w:r w:rsidRPr="002C6CCA">
        <w:t xml:space="preserve"> shall match those specified in the procedures section above and be signed by the responsible parties.</w:t>
      </w:r>
    </w:p>
    <w:p w:rsidR="00984CA2" w:rsidRPr="002C6CCA" w:rsidRDefault="00984CA2" w:rsidP="00E85838">
      <w:pPr>
        <w:autoSpaceDE w:val="0"/>
        <w:autoSpaceDN w:val="0"/>
        <w:adjustRightInd w:val="0"/>
        <w:rPr>
          <w:b/>
          <w:bCs/>
          <w:sz w:val="20"/>
          <w:szCs w:val="20"/>
        </w:rPr>
      </w:pPr>
    </w:p>
    <w:p w:rsidR="00180DC1" w:rsidRPr="002C6CCA" w:rsidRDefault="0032084F" w:rsidP="00261F1F">
      <w:pPr>
        <w:autoSpaceDE w:val="0"/>
        <w:autoSpaceDN w:val="0"/>
        <w:adjustRightInd w:val="0"/>
        <w:rPr>
          <w:b/>
          <w:bCs/>
          <w:sz w:val="20"/>
          <w:szCs w:val="20"/>
        </w:rPr>
      </w:pPr>
      <w:r w:rsidRPr="002C6CCA">
        <w:rPr>
          <w:b/>
          <w:bCs/>
          <w:sz w:val="20"/>
          <w:szCs w:val="20"/>
        </w:rPr>
        <w:t>ENVIRONMENTAL QUALITY</w:t>
      </w:r>
    </w:p>
    <w:p w:rsidR="0028357E" w:rsidRPr="002C6CCA" w:rsidRDefault="0028357E" w:rsidP="00261F1F">
      <w:pPr>
        <w:autoSpaceDE w:val="0"/>
        <w:autoSpaceDN w:val="0"/>
        <w:adjustRightInd w:val="0"/>
        <w:rPr>
          <w:b/>
          <w:bCs/>
          <w:sz w:val="20"/>
          <w:szCs w:val="20"/>
        </w:rPr>
      </w:pPr>
    </w:p>
    <w:p w:rsidR="00180DC1" w:rsidRPr="002C6CCA" w:rsidRDefault="007011FB" w:rsidP="00261F1F">
      <w:pPr>
        <w:autoSpaceDE w:val="0"/>
        <w:autoSpaceDN w:val="0"/>
        <w:adjustRightInd w:val="0"/>
        <w:ind w:left="720" w:hanging="720"/>
        <w:rPr>
          <w:b/>
          <w:bCs/>
          <w:sz w:val="20"/>
          <w:szCs w:val="20"/>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6F7CC4" w:rsidRPr="002C6CCA">
        <w:rPr>
          <w:b/>
          <w:bCs/>
          <w:sz w:val="20"/>
          <w:szCs w:val="20"/>
        </w:rPr>
        <w:tab/>
      </w:r>
      <w:r w:rsidR="00180DC1" w:rsidRPr="002C6CCA">
        <w:rPr>
          <w:b/>
          <w:bCs/>
          <w:sz w:val="20"/>
          <w:szCs w:val="20"/>
        </w:rPr>
        <w:t>FIREPLACES</w:t>
      </w:r>
      <w:r w:rsidR="00D20219" w:rsidRPr="002C6CCA">
        <w:rPr>
          <w:b/>
          <w:bCs/>
          <w:sz w:val="20"/>
          <w:szCs w:val="20"/>
        </w:rPr>
        <w:t xml:space="preserve"> </w:t>
      </w:r>
      <w:r w:rsidR="00644C3A" w:rsidRPr="002C6CCA">
        <w:rPr>
          <w:bCs/>
        </w:rPr>
        <w:t xml:space="preserve">Wood burning devices including fireplaces are not permitted under SQAQMD Rule 445. </w:t>
      </w:r>
      <w:r w:rsidR="00557E63" w:rsidRPr="002C6CCA">
        <w:rPr>
          <w:color w:val="231F20"/>
        </w:rPr>
        <w:t xml:space="preserve">Any installed </w:t>
      </w:r>
      <w:r w:rsidR="00733332" w:rsidRPr="002C6CCA">
        <w:rPr>
          <w:color w:val="231F20"/>
        </w:rPr>
        <w:t xml:space="preserve">gas fireplace </w:t>
      </w:r>
      <w:r w:rsidR="00644C3A" w:rsidRPr="002C6CCA">
        <w:rPr>
          <w:color w:val="231F20"/>
        </w:rPr>
        <w:t>s</w:t>
      </w:r>
      <w:r w:rsidR="00733332" w:rsidRPr="002C6CCA">
        <w:rPr>
          <w:color w:val="231F20"/>
        </w:rPr>
        <w:t xml:space="preserve">hall be a </w:t>
      </w:r>
      <w:r w:rsidR="00557E63" w:rsidRPr="002C6CCA">
        <w:rPr>
          <w:color w:val="231F20"/>
        </w:rPr>
        <w:t xml:space="preserve">direct-vent sealed-combustion </w:t>
      </w:r>
      <w:r w:rsidR="00733332" w:rsidRPr="002C6CCA">
        <w:rPr>
          <w:color w:val="231F20"/>
        </w:rPr>
        <w:t>type</w:t>
      </w:r>
      <w:r w:rsidR="00644C3A" w:rsidRPr="002C6CCA">
        <w:rPr>
          <w:color w:val="231F20"/>
        </w:rPr>
        <w:t>.</w:t>
      </w:r>
      <w:r w:rsidR="00180DC1" w:rsidRPr="002C6CCA">
        <w:rPr>
          <w:color w:val="231F20"/>
        </w:rPr>
        <w:t xml:space="preserve"> (CGBSC </w:t>
      </w:r>
      <w:r w:rsidR="00733332" w:rsidRPr="002C6CCA">
        <w:rPr>
          <w:color w:val="231F20"/>
        </w:rPr>
        <w:t>5.503</w:t>
      </w:r>
      <w:r w:rsidR="00180DC1" w:rsidRPr="002C6CCA">
        <w:rPr>
          <w:color w:val="231F20"/>
        </w:rPr>
        <w:t>)</w:t>
      </w:r>
    </w:p>
    <w:p w:rsidR="005D0AD5" w:rsidRPr="002C6CCA" w:rsidRDefault="005D0AD5" w:rsidP="00261F1F">
      <w:pPr>
        <w:autoSpaceDE w:val="0"/>
        <w:autoSpaceDN w:val="0"/>
        <w:adjustRightInd w:val="0"/>
        <w:rPr>
          <w:color w:val="231F20"/>
        </w:rPr>
      </w:pPr>
    </w:p>
    <w:p w:rsidR="00805A14" w:rsidRPr="002C6CCA" w:rsidRDefault="00D20219" w:rsidP="00261F1F">
      <w:pPr>
        <w:autoSpaceDE w:val="0"/>
        <w:autoSpaceDN w:val="0"/>
        <w:adjustRightInd w:val="0"/>
      </w:pPr>
      <w:r w:rsidRPr="002C6CCA">
        <w:rPr>
          <w:b/>
          <w:bCs/>
          <w:sz w:val="20"/>
          <w:szCs w:val="20"/>
        </w:rPr>
        <w:t>MECHANICAL EQUIPMENT AND DUCT PROTECTION</w:t>
      </w:r>
      <w:r w:rsidR="00F40C37" w:rsidRPr="002C6CCA">
        <w:rPr>
          <w:bCs/>
          <w:sz w:val="20"/>
          <w:szCs w:val="20"/>
        </w:rPr>
        <w:t xml:space="preserve"> </w:t>
      </w:r>
      <w:r w:rsidR="006C1C1D" w:rsidRPr="002C6CCA">
        <w:t>To reduce the amount of dust</w:t>
      </w:r>
      <w:r w:rsidR="00423347" w:rsidRPr="002C6CCA">
        <w:t>, water,</w:t>
      </w:r>
      <w:r w:rsidR="006C1C1D" w:rsidRPr="002C6CCA">
        <w:t xml:space="preserve"> a</w:t>
      </w:r>
      <w:r w:rsidR="00350716" w:rsidRPr="002C6CCA">
        <w:t>nd</w:t>
      </w:r>
      <w:r w:rsidR="006C1C1D" w:rsidRPr="002C6CCA">
        <w:t xml:space="preserve"> debris collected in mechanical equipment and ducts, all d</w:t>
      </w:r>
      <w:r w:rsidR="0032084F" w:rsidRPr="002C6CCA">
        <w:t xml:space="preserve">uct openings and other related air distribution </w:t>
      </w:r>
      <w:r w:rsidR="006C1C1D" w:rsidRPr="002C6CCA">
        <w:t xml:space="preserve">equipment </w:t>
      </w:r>
      <w:r w:rsidR="0032084F" w:rsidRPr="002C6CCA">
        <w:t>component openings shall be covered</w:t>
      </w:r>
      <w:r w:rsidR="006C1C1D" w:rsidRPr="002C6CCA">
        <w:t xml:space="preserve"> f</w:t>
      </w:r>
      <w:r w:rsidR="00F40C37" w:rsidRPr="002C6CCA">
        <w:t>rom</w:t>
      </w:r>
      <w:r w:rsidR="006C1C1D" w:rsidRPr="002C6CCA">
        <w:t xml:space="preserve"> the time of delivery at the jo</w:t>
      </w:r>
      <w:r w:rsidR="009F0328" w:rsidRPr="002C6CCA">
        <w:t xml:space="preserve">bsite through the construction </w:t>
      </w:r>
      <w:r w:rsidR="006C1C1D" w:rsidRPr="002C6CCA">
        <w:t>until final start up</w:t>
      </w:r>
      <w:r w:rsidR="0032084F" w:rsidRPr="002C6CCA">
        <w:t xml:space="preserve">. </w:t>
      </w:r>
      <w:r w:rsidR="00E975AF" w:rsidRPr="002C6CCA">
        <w:t>(</w:t>
      </w:r>
      <w:r w:rsidR="00E564A0" w:rsidRPr="002C6CCA">
        <w:t xml:space="preserve">CGBSC </w:t>
      </w:r>
      <w:r w:rsidR="00733332" w:rsidRPr="002C6CCA">
        <w:t>5.504.3</w:t>
      </w:r>
      <w:r w:rsidR="00E564A0" w:rsidRPr="002C6CCA">
        <w:t>)</w:t>
      </w:r>
    </w:p>
    <w:p w:rsidR="00DF62A1" w:rsidRPr="002C6CCA" w:rsidRDefault="00DF62A1" w:rsidP="00261F1F">
      <w:pPr>
        <w:autoSpaceDE w:val="0"/>
        <w:autoSpaceDN w:val="0"/>
        <w:adjustRightInd w:val="0"/>
      </w:pPr>
    </w:p>
    <w:p w:rsidR="00F20B4C" w:rsidRPr="002C6CCA" w:rsidRDefault="00F20B4C" w:rsidP="00261F1F">
      <w:pPr>
        <w:autoSpaceDE w:val="0"/>
        <w:autoSpaceDN w:val="0"/>
        <w:adjustRightInd w:val="0"/>
        <w:rPr>
          <w:b/>
        </w:rPr>
      </w:pPr>
      <w:r w:rsidRPr="002C6CCA">
        <w:rPr>
          <w:b/>
          <w:bCs/>
          <w:sz w:val="20"/>
          <w:szCs w:val="20"/>
        </w:rPr>
        <w:t>FINISH MATERIAL POLLUTANT CONTROL</w:t>
      </w:r>
    </w:p>
    <w:p w:rsidR="00805A14" w:rsidRPr="002C6CCA" w:rsidRDefault="0032084F" w:rsidP="00261F1F">
      <w:pPr>
        <w:numPr>
          <w:ilvl w:val="0"/>
          <w:numId w:val="1"/>
        </w:numPr>
        <w:tabs>
          <w:tab w:val="clear" w:pos="720"/>
          <w:tab w:val="num" w:pos="360"/>
        </w:tabs>
        <w:autoSpaceDE w:val="0"/>
        <w:autoSpaceDN w:val="0"/>
        <w:adjustRightInd w:val="0"/>
        <w:ind w:left="360"/>
      </w:pPr>
      <w:r w:rsidRPr="002C6CCA">
        <w:rPr>
          <w:b/>
        </w:rPr>
        <w:t>Adhesives</w:t>
      </w:r>
      <w:r w:rsidR="00F66FF4" w:rsidRPr="002C6CCA">
        <w:rPr>
          <w:b/>
        </w:rPr>
        <w:t>, sealants and caulks</w:t>
      </w:r>
      <w:r w:rsidRPr="002C6CCA">
        <w:t xml:space="preserve"> shall </w:t>
      </w:r>
      <w:r w:rsidR="00F66FF4" w:rsidRPr="002C6CCA">
        <w:t xml:space="preserve">meet the applicable standards of CGBSC </w:t>
      </w:r>
      <w:r w:rsidR="00F70A71" w:rsidRPr="002C6CCA">
        <w:t>5.504.4.1</w:t>
      </w:r>
      <w:r w:rsidR="00F66FF4" w:rsidRPr="002C6CCA">
        <w:t xml:space="preserve"> and tables </w:t>
      </w:r>
      <w:r w:rsidR="00F70A71" w:rsidRPr="002C6CCA">
        <w:t>5</w:t>
      </w:r>
      <w:r w:rsidR="00F66FF4" w:rsidRPr="002C6CCA">
        <w:t>.504.</w:t>
      </w:r>
      <w:r w:rsidR="00F70A71" w:rsidRPr="002C6CCA">
        <w:t>4.</w:t>
      </w:r>
      <w:r w:rsidR="00F66FF4" w:rsidRPr="002C6CCA">
        <w:t xml:space="preserve">1 and </w:t>
      </w:r>
      <w:r w:rsidR="00F70A71" w:rsidRPr="002C6CCA">
        <w:t>5</w:t>
      </w:r>
      <w:r w:rsidR="00F66FF4" w:rsidRPr="002C6CCA">
        <w:t>.504.</w:t>
      </w:r>
      <w:r w:rsidR="00F70A71" w:rsidRPr="002C6CCA">
        <w:t>4.</w:t>
      </w:r>
      <w:r w:rsidR="00F66FF4" w:rsidRPr="002C6CCA">
        <w:t xml:space="preserve">2 for VOC limits and content prohibitions. </w:t>
      </w:r>
    </w:p>
    <w:p w:rsidR="0032084F" w:rsidRPr="002C6CCA" w:rsidRDefault="0032084F" w:rsidP="00261F1F">
      <w:pPr>
        <w:numPr>
          <w:ilvl w:val="0"/>
          <w:numId w:val="1"/>
        </w:numPr>
        <w:tabs>
          <w:tab w:val="clear" w:pos="720"/>
          <w:tab w:val="num" w:pos="360"/>
        </w:tabs>
        <w:autoSpaceDE w:val="0"/>
        <w:autoSpaceDN w:val="0"/>
        <w:adjustRightInd w:val="0"/>
        <w:ind w:left="360"/>
      </w:pPr>
      <w:r w:rsidRPr="002C6CCA">
        <w:rPr>
          <w:b/>
        </w:rPr>
        <w:t>Paints and coatings</w:t>
      </w:r>
      <w:r w:rsidRPr="002C6CCA">
        <w:t xml:space="preserve"> shall </w:t>
      </w:r>
      <w:r w:rsidR="00F66FF4" w:rsidRPr="002C6CCA">
        <w:t xml:space="preserve">meet the applicable standards of CGBSC </w:t>
      </w:r>
      <w:r w:rsidR="00F70A71" w:rsidRPr="002C6CCA">
        <w:t>504.4.3</w:t>
      </w:r>
      <w:r w:rsidR="00F66FF4" w:rsidRPr="002C6CCA">
        <w:t xml:space="preserve"> and table </w:t>
      </w:r>
      <w:r w:rsidR="00F70A71" w:rsidRPr="002C6CCA">
        <w:t>5.504.4.3</w:t>
      </w:r>
      <w:r w:rsidR="00F66FF4" w:rsidRPr="002C6CCA">
        <w:t xml:space="preserve"> for VOC limits.</w:t>
      </w:r>
    </w:p>
    <w:p w:rsidR="00F66FF4" w:rsidRPr="002C6CCA" w:rsidRDefault="00F66FF4" w:rsidP="00261F1F">
      <w:pPr>
        <w:numPr>
          <w:ilvl w:val="0"/>
          <w:numId w:val="1"/>
        </w:numPr>
        <w:tabs>
          <w:tab w:val="clear" w:pos="720"/>
          <w:tab w:val="num" w:pos="360"/>
        </w:tabs>
        <w:autoSpaceDE w:val="0"/>
        <w:autoSpaceDN w:val="0"/>
        <w:adjustRightInd w:val="0"/>
        <w:ind w:left="360"/>
      </w:pPr>
      <w:r w:rsidRPr="002C6CCA">
        <w:rPr>
          <w:b/>
        </w:rPr>
        <w:t>Aerosol paints and coatings</w:t>
      </w:r>
      <w:r w:rsidRPr="002C6CCA">
        <w:t xml:space="preserve"> shall meet the applicable standards of CGBSC</w:t>
      </w:r>
      <w:r w:rsidR="00F70A71" w:rsidRPr="002C6CCA">
        <w:t xml:space="preserve"> 5.504.</w:t>
      </w:r>
      <w:r w:rsidRPr="002C6CCA">
        <w:t>4</w:t>
      </w:r>
      <w:r w:rsidR="00F70A71" w:rsidRPr="002C6CCA">
        <w:t>.3.1.</w:t>
      </w:r>
    </w:p>
    <w:p w:rsidR="001F4143" w:rsidRPr="002C6CCA" w:rsidRDefault="001F4143" w:rsidP="00261F1F">
      <w:pPr>
        <w:autoSpaceDE w:val="0"/>
        <w:autoSpaceDN w:val="0"/>
        <w:adjustRightInd w:val="0"/>
        <w:rPr>
          <w:b/>
          <w:sz w:val="20"/>
          <w:szCs w:val="20"/>
        </w:rPr>
      </w:pPr>
    </w:p>
    <w:p w:rsidR="00FC4791" w:rsidRPr="002C6CCA" w:rsidRDefault="00FC4791" w:rsidP="00261F1F">
      <w:pPr>
        <w:autoSpaceDE w:val="0"/>
        <w:autoSpaceDN w:val="0"/>
        <w:adjustRightInd w:val="0"/>
      </w:pPr>
      <w:r w:rsidRPr="002C6CCA">
        <w:rPr>
          <w:b/>
        </w:rPr>
        <w:t>Carpet systems</w:t>
      </w:r>
      <w:r w:rsidRPr="002C6CCA">
        <w:t xml:space="preserve"> shall meet the applicable standards of CGBSC </w:t>
      </w:r>
      <w:r w:rsidR="00F70A71" w:rsidRPr="002C6CCA">
        <w:t>5.504.4.4</w:t>
      </w:r>
      <w:r w:rsidRPr="002C6CCA">
        <w:t xml:space="preserve"> including CGBSC </w:t>
      </w:r>
      <w:r w:rsidR="00F70A71" w:rsidRPr="002C6CCA">
        <w:t xml:space="preserve">5.504.4.4.1 </w:t>
      </w:r>
      <w:r w:rsidRPr="002C6CCA">
        <w:t xml:space="preserve">for </w:t>
      </w:r>
      <w:r w:rsidRPr="002C6CCA">
        <w:rPr>
          <w:b/>
        </w:rPr>
        <w:t>carpet cushions</w:t>
      </w:r>
      <w:r w:rsidRPr="002C6CCA">
        <w:t xml:space="preserve"> and CGBSC </w:t>
      </w:r>
      <w:r w:rsidR="00F70A71" w:rsidRPr="002C6CCA">
        <w:t>5.504.4.4.2 for</w:t>
      </w:r>
      <w:r w:rsidRPr="002C6CCA">
        <w:t xml:space="preserve"> </w:t>
      </w:r>
      <w:r w:rsidRPr="002C6CCA">
        <w:rPr>
          <w:b/>
        </w:rPr>
        <w:t>carpet adhesives</w:t>
      </w:r>
      <w:r w:rsidRPr="002C6CCA">
        <w:t>.</w:t>
      </w:r>
    </w:p>
    <w:p w:rsidR="001F4143" w:rsidRPr="002C6CCA" w:rsidRDefault="001F4143" w:rsidP="00261F1F">
      <w:pPr>
        <w:autoSpaceDE w:val="0"/>
        <w:autoSpaceDN w:val="0"/>
        <w:adjustRightInd w:val="0"/>
        <w:rPr>
          <w:b/>
          <w:sz w:val="20"/>
          <w:szCs w:val="20"/>
        </w:rPr>
      </w:pPr>
    </w:p>
    <w:p w:rsidR="00FC4791" w:rsidRPr="002C6CCA" w:rsidRDefault="00FC4791" w:rsidP="00261F1F">
      <w:pPr>
        <w:autoSpaceDE w:val="0"/>
        <w:autoSpaceDN w:val="0"/>
        <w:adjustRightInd w:val="0"/>
      </w:pPr>
      <w:r w:rsidRPr="002C6CCA">
        <w:rPr>
          <w:b/>
        </w:rPr>
        <w:t>Resilient flooring</w:t>
      </w:r>
      <w:r w:rsidRPr="002C6CCA">
        <w:t xml:space="preserve"> shall meet the applicable standards of CGBSC </w:t>
      </w:r>
      <w:r w:rsidR="00F70A71" w:rsidRPr="002C6CCA">
        <w:t>5.504.4.6.</w:t>
      </w:r>
    </w:p>
    <w:p w:rsidR="001F4143" w:rsidRPr="002C6CCA" w:rsidRDefault="001F4143" w:rsidP="00261F1F">
      <w:pPr>
        <w:autoSpaceDE w:val="0"/>
        <w:autoSpaceDN w:val="0"/>
        <w:adjustRightInd w:val="0"/>
        <w:rPr>
          <w:b/>
          <w:sz w:val="20"/>
          <w:szCs w:val="20"/>
        </w:rPr>
      </w:pPr>
    </w:p>
    <w:p w:rsidR="00FC4791" w:rsidRPr="002C6CCA" w:rsidRDefault="00FC4791" w:rsidP="00261F1F">
      <w:pPr>
        <w:autoSpaceDE w:val="0"/>
        <w:autoSpaceDN w:val="0"/>
        <w:adjustRightInd w:val="0"/>
      </w:pPr>
      <w:r w:rsidRPr="002C6CCA">
        <w:rPr>
          <w:b/>
        </w:rPr>
        <w:t>Composite wood products</w:t>
      </w:r>
      <w:r w:rsidRPr="002C6CCA">
        <w:t xml:space="preserve"> shall meet the applicable standards of CGBSC </w:t>
      </w:r>
      <w:r w:rsidR="00F70A71" w:rsidRPr="002C6CCA">
        <w:t>5.504.4.5</w:t>
      </w:r>
      <w:r w:rsidRPr="002C6CCA">
        <w:t xml:space="preserve"> and table </w:t>
      </w:r>
      <w:r w:rsidR="00F70A71" w:rsidRPr="002C6CCA">
        <w:t>5.504.4.5.</w:t>
      </w:r>
    </w:p>
    <w:p w:rsidR="000440D8" w:rsidRPr="002C6CCA" w:rsidRDefault="000440D8" w:rsidP="00261F1F">
      <w:pPr>
        <w:autoSpaceDE w:val="0"/>
        <w:autoSpaceDN w:val="0"/>
        <w:adjustRightInd w:val="0"/>
      </w:pPr>
    </w:p>
    <w:p w:rsidR="000440D8" w:rsidRPr="002C6CCA" w:rsidRDefault="000440D8" w:rsidP="00261F1F">
      <w:pPr>
        <w:autoSpaceDE w:val="0"/>
        <w:autoSpaceDN w:val="0"/>
        <w:adjustRightInd w:val="0"/>
        <w:rPr>
          <w:b/>
        </w:rPr>
      </w:pPr>
      <w:r w:rsidRPr="002C6CCA">
        <w:rPr>
          <w:b/>
        </w:rPr>
        <w:t>Environmental Tobacco Smoke Control</w:t>
      </w:r>
      <w:r w:rsidR="00B466B3" w:rsidRPr="002C6CCA">
        <w:rPr>
          <w:b/>
        </w:rPr>
        <w:t xml:space="preserve"> (</w:t>
      </w:r>
      <w:r w:rsidR="00727817">
        <w:rPr>
          <w:b/>
        </w:rPr>
        <w:t>5.504.7</w:t>
      </w:r>
      <w:r w:rsidR="00B466B3" w:rsidRPr="002C6CCA">
        <w:rPr>
          <w:b/>
        </w:rPr>
        <w:t>)</w:t>
      </w:r>
    </w:p>
    <w:p w:rsidR="00B30C5E" w:rsidRPr="002C6CCA" w:rsidRDefault="007011FB" w:rsidP="00261F1F">
      <w:pPr>
        <w:autoSpaceDE w:val="0"/>
        <w:autoSpaceDN w:val="0"/>
        <w:adjustRightInd w:val="0"/>
        <w:ind w:left="720" w:hanging="720"/>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tab/>
      </w:r>
      <w:r w:rsidR="000440D8" w:rsidRPr="002C6CCA">
        <w:t xml:space="preserve">See plan sheet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0440D8" w:rsidRPr="002C6CCA">
        <w:t xml:space="preserve"> for designated outdoor smoking area which shows a minimum of 25 feet from building entries, outdoor ventilation intakes and operable windows.</w:t>
      </w:r>
    </w:p>
    <w:p w:rsidR="0039321C" w:rsidRPr="002C6CCA" w:rsidRDefault="0039321C" w:rsidP="00261F1F">
      <w:pPr>
        <w:autoSpaceDE w:val="0"/>
        <w:autoSpaceDN w:val="0"/>
        <w:adjustRightInd w:val="0"/>
        <w:rPr>
          <w:b/>
          <w:bCs/>
          <w:sz w:val="20"/>
          <w:szCs w:val="20"/>
        </w:rPr>
      </w:pPr>
    </w:p>
    <w:p w:rsidR="00D9548C" w:rsidRDefault="00727817" w:rsidP="00727817">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Pr="002C6CCA">
        <w:rPr>
          <w:b/>
          <w:bCs/>
          <w:sz w:val="20"/>
          <w:szCs w:val="20"/>
          <w:u w:val="single"/>
        </w:rPr>
      </w:r>
      <w:r w:rsidRPr="002C6CCA">
        <w:rPr>
          <w:b/>
          <w:bCs/>
          <w:sz w:val="20"/>
          <w:szCs w:val="20"/>
          <w:u w:val="single"/>
        </w:rPr>
        <w:fldChar w:fldCharType="end"/>
      </w:r>
      <w:r>
        <w:rPr>
          <w:bCs/>
          <w:sz w:val="20"/>
          <w:szCs w:val="20"/>
        </w:rPr>
        <w:tab/>
      </w:r>
      <w:r w:rsidR="0039321C" w:rsidRPr="002C6CCA">
        <w:rPr>
          <w:b/>
          <w:bCs/>
        </w:rPr>
        <w:t xml:space="preserve">Ventilation filtration- </w:t>
      </w:r>
      <w:r>
        <w:rPr>
          <w:bCs/>
        </w:rPr>
        <w:t xml:space="preserve">CGBSC 5.504.5.3) </w:t>
      </w:r>
      <w:r>
        <w:rPr>
          <w:b/>
          <w:bCs/>
        </w:rPr>
        <w:t xml:space="preserve">- </w:t>
      </w:r>
      <w:r>
        <w:rPr>
          <w:bCs/>
        </w:rPr>
        <w:t>For new HVAC systems outside and return air shall pass through filtration media having</w:t>
      </w:r>
      <w:r w:rsidRPr="001F34B4">
        <w:rPr>
          <w:bCs/>
        </w:rPr>
        <w:t xml:space="preserve"> </w:t>
      </w:r>
      <w:r>
        <w:rPr>
          <w:bCs/>
        </w:rPr>
        <w:t>a rating of:</w:t>
      </w:r>
    </w:p>
    <w:p w:rsidR="00727817" w:rsidRPr="002C6CCA" w:rsidRDefault="00727817" w:rsidP="00727817">
      <w:pPr>
        <w:autoSpaceDE w:val="0"/>
        <w:autoSpaceDN w:val="0"/>
        <w:adjustRightInd w:val="0"/>
        <w:ind w:left="720" w:hanging="720"/>
        <w:rPr>
          <w:bCs/>
        </w:rPr>
      </w:pPr>
    </w:p>
    <w:p w:rsidR="0032084F" w:rsidRDefault="00727817" w:rsidP="00261F1F">
      <w:pPr>
        <w:autoSpaceDE w:val="0"/>
        <w:autoSpaceDN w:val="0"/>
        <w:adjustRightInd w:val="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Pr="002C6CCA">
        <w:rPr>
          <w:b/>
          <w:bCs/>
          <w:sz w:val="20"/>
          <w:szCs w:val="20"/>
          <w:u w:val="single"/>
        </w:rPr>
      </w:r>
      <w:r w:rsidRPr="002C6CCA">
        <w:rPr>
          <w:b/>
          <w:bCs/>
          <w:sz w:val="20"/>
          <w:szCs w:val="20"/>
          <w:u w:val="single"/>
        </w:rPr>
        <w:fldChar w:fldCharType="end"/>
      </w:r>
      <w:r>
        <w:rPr>
          <w:bCs/>
        </w:rPr>
        <w:tab/>
      </w:r>
      <w:r>
        <w:rPr>
          <w:bCs/>
          <w:u w:val="single"/>
        </w:rPr>
        <w:t>MERV 8</w:t>
      </w:r>
      <w:r>
        <w:rPr>
          <w:bCs/>
        </w:rPr>
        <w:t xml:space="preserve"> or better,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r>
        <w:rPr>
          <w:bCs/>
        </w:rPr>
        <w:t xml:space="preserve"> for specifications.</w:t>
      </w:r>
    </w:p>
    <w:p w:rsidR="00727817" w:rsidRDefault="00727817" w:rsidP="00727817">
      <w:pPr>
        <w:autoSpaceDE w:val="0"/>
        <w:autoSpaceDN w:val="0"/>
        <w:adjustRightInd w:val="0"/>
        <w:ind w:left="720" w:hanging="720"/>
        <w:rPr>
          <w:bCs/>
        </w:rPr>
      </w:pPr>
      <w:r w:rsidRPr="002C6CCA">
        <w:rPr>
          <w:b/>
          <w:bCs/>
          <w:sz w:val="20"/>
          <w:szCs w:val="20"/>
          <w:u w:val="single"/>
        </w:rPr>
        <w:lastRenderedPageBreak/>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Pr="002C6CCA">
        <w:rPr>
          <w:b/>
          <w:bCs/>
          <w:sz w:val="20"/>
          <w:szCs w:val="20"/>
          <w:u w:val="single"/>
        </w:rPr>
      </w:r>
      <w:r w:rsidRPr="002C6CCA">
        <w:rPr>
          <w:b/>
          <w:bCs/>
          <w:sz w:val="20"/>
          <w:szCs w:val="20"/>
          <w:u w:val="single"/>
        </w:rPr>
        <w:fldChar w:fldCharType="end"/>
      </w:r>
      <w:r>
        <w:rPr>
          <w:b/>
          <w:bCs/>
          <w:sz w:val="20"/>
          <w:szCs w:val="20"/>
        </w:rPr>
        <w:tab/>
      </w:r>
      <w:r>
        <w:t xml:space="preserve">An ASHRAE 10 to 15 percent efficiency filter (only allowed for an HVAC unit meeting the 2013 California Energy Code of 60,000 btu/h or less and an energy usage of 0.4 W/cfm  or less at design air flow), see plan sheet </w:t>
      </w:r>
      <w:r>
        <w:rPr>
          <w:b/>
          <w:bCs/>
          <w:u w:val="single"/>
        </w:rPr>
        <w:fldChar w:fldCharType="begin">
          <w:ffData>
            <w:name w:val=""/>
            <w:enabled/>
            <w:calcOnExit w:val="0"/>
            <w:textInput>
              <w:maxLength w:val="12"/>
            </w:textInput>
          </w:ffData>
        </w:fldChar>
      </w:r>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r>
        <w:t xml:space="preserve"> for specifications.</w:t>
      </w:r>
    </w:p>
    <w:p w:rsidR="00727817" w:rsidRPr="00727817" w:rsidRDefault="00727817" w:rsidP="00261F1F">
      <w:pPr>
        <w:autoSpaceDE w:val="0"/>
        <w:autoSpaceDN w:val="0"/>
        <w:adjustRightInd w:val="0"/>
        <w:rPr>
          <w:bCs/>
          <w:sz w:val="20"/>
          <w:szCs w:val="20"/>
        </w:rPr>
      </w:pPr>
      <w:r>
        <w:rPr>
          <w:b/>
          <w:bCs/>
          <w:sz w:val="20"/>
          <w:szCs w:val="20"/>
        </w:rPr>
        <w:tab/>
      </w:r>
    </w:p>
    <w:p w:rsidR="003F38FE" w:rsidRPr="002C6CCA" w:rsidRDefault="00B466B3" w:rsidP="00261F1F">
      <w:pPr>
        <w:autoSpaceDE w:val="0"/>
        <w:autoSpaceDN w:val="0"/>
        <w:adjustRightInd w:val="0"/>
        <w:rPr>
          <w:bCs/>
          <w:sz w:val="20"/>
          <w:szCs w:val="20"/>
        </w:rPr>
      </w:pPr>
      <w:r w:rsidRPr="002C6CCA">
        <w:rPr>
          <w:b/>
          <w:bCs/>
          <w:sz w:val="20"/>
          <w:szCs w:val="20"/>
        </w:rPr>
        <w:t>ENVIRONMENTAL COMFORT (CGBSC 5.507)</w:t>
      </w:r>
      <w:r w:rsidR="003F38FE" w:rsidRPr="002C6CCA">
        <w:rPr>
          <w:bCs/>
          <w:sz w:val="20"/>
          <w:szCs w:val="20"/>
        </w:rPr>
        <w:t xml:space="preserve"> </w:t>
      </w:r>
    </w:p>
    <w:p w:rsidR="003F38FE" w:rsidRPr="002C6CCA" w:rsidRDefault="003F38FE" w:rsidP="00261F1F">
      <w:pPr>
        <w:autoSpaceDE w:val="0"/>
        <w:autoSpaceDN w:val="0"/>
        <w:adjustRightInd w:val="0"/>
        <w:rPr>
          <w:bCs/>
          <w:sz w:val="20"/>
          <w:szCs w:val="20"/>
        </w:rPr>
      </w:pPr>
    </w:p>
    <w:p w:rsidR="003F38FE" w:rsidRPr="002C6CCA" w:rsidRDefault="003F38FE" w:rsidP="00261F1F">
      <w:pPr>
        <w:autoSpaceDE w:val="0"/>
        <w:autoSpaceDN w:val="0"/>
        <w:adjustRightInd w:val="0"/>
        <w:rPr>
          <w:bCs/>
          <w:i/>
        </w:rPr>
      </w:pPr>
      <w:r w:rsidRPr="002C6CCA">
        <w:rPr>
          <w:b/>
          <w:bCs/>
        </w:rPr>
        <w:t xml:space="preserve">Exterior Noise </w:t>
      </w:r>
      <w:r w:rsidR="00F4493B" w:rsidRPr="002C6CCA">
        <w:rPr>
          <w:bCs/>
        </w:rPr>
        <w:t xml:space="preserve">Wall and roof assemblies making up the building envelope and exposed to the noise source as follows shall meet a composite STC rating of 50 or a composite OITC rating of 40, and exterior windows within said walls shall meet an STC of 40 or an OITC of 30. </w:t>
      </w:r>
    </w:p>
    <w:p w:rsidR="00261F1F" w:rsidRPr="002C6CCA" w:rsidRDefault="00261F1F" w:rsidP="00261F1F">
      <w:pPr>
        <w:autoSpaceDE w:val="0"/>
        <w:autoSpaceDN w:val="0"/>
        <w:adjustRightInd w:val="0"/>
        <w:rPr>
          <w:bCs/>
        </w:rPr>
      </w:pPr>
    </w:p>
    <w:p w:rsidR="00F4493B" w:rsidRPr="002C6CCA" w:rsidRDefault="00F4493B" w:rsidP="00261F1F">
      <w:pPr>
        <w:autoSpaceDE w:val="0"/>
        <w:autoSpaceDN w:val="0"/>
        <w:adjustRightInd w:val="0"/>
        <w:rPr>
          <w:bCs/>
        </w:rPr>
      </w:pPr>
      <w:r w:rsidRPr="002C6CCA">
        <w:rPr>
          <w:bCs/>
        </w:rPr>
        <w:t>Prescriptive Method (Using</w:t>
      </w:r>
      <w:r w:rsidR="00D1623A">
        <w:rPr>
          <w:bCs/>
        </w:rPr>
        <w:t xml:space="preserve"> </w:t>
      </w:r>
      <w:hyperlink r:id="rId14" w:history="1">
        <w:r w:rsidR="00D1623A">
          <w:rPr>
            <w:rStyle w:val="Hyperlink"/>
            <w:bCs/>
          </w:rPr>
          <w:t>Sound Transmissi</w:t>
        </w:r>
        <w:r w:rsidR="00D1623A">
          <w:rPr>
            <w:rStyle w:val="Hyperlink"/>
            <w:bCs/>
          </w:rPr>
          <w:t>o</w:t>
        </w:r>
        <w:r w:rsidR="00D1623A">
          <w:rPr>
            <w:rStyle w:val="Hyperlink"/>
            <w:bCs/>
          </w:rPr>
          <w:t xml:space="preserve">n </w:t>
        </w:r>
        <w:r w:rsidR="00D1623A">
          <w:rPr>
            <w:rStyle w:val="Hyperlink"/>
            <w:bCs/>
          </w:rPr>
          <w:t>C</w:t>
        </w:r>
        <w:r w:rsidR="00D1623A">
          <w:rPr>
            <w:rStyle w:val="Hyperlink"/>
            <w:bCs/>
          </w:rPr>
          <w:t>l</w:t>
        </w:r>
        <w:r w:rsidR="00D1623A">
          <w:rPr>
            <w:rStyle w:val="Hyperlink"/>
            <w:bCs/>
          </w:rPr>
          <w:t>ass (S</w:t>
        </w:r>
        <w:r w:rsidR="00D1623A">
          <w:rPr>
            <w:rStyle w:val="Hyperlink"/>
            <w:bCs/>
          </w:rPr>
          <w:t>T</w:t>
        </w:r>
        <w:r w:rsidR="00D1623A">
          <w:rPr>
            <w:rStyle w:val="Hyperlink"/>
            <w:bCs/>
          </w:rPr>
          <w:t>C</w:t>
        </w:r>
        <w:r w:rsidR="00D1623A">
          <w:rPr>
            <w:rStyle w:val="Hyperlink"/>
            <w:bCs/>
          </w:rPr>
          <w:t>) Map - 2012</w:t>
        </w:r>
      </w:hyperlink>
      <w:r w:rsidR="00D1623A">
        <w:rPr>
          <w:bCs/>
        </w:rPr>
        <w:t xml:space="preserve">  </w:t>
      </w:r>
      <w:r w:rsidR="00E67ACF">
        <w:rPr>
          <w:bCs/>
        </w:rPr>
        <w:t>at</w:t>
      </w:r>
      <w:r w:rsidRPr="002C6CCA">
        <w:rPr>
          <w:bCs/>
        </w:rPr>
        <w:t xml:space="preserve"> </w:t>
      </w:r>
      <w:hyperlink r:id="rId15" w:history="1">
        <w:r w:rsidR="00D860D0" w:rsidRPr="002D0180">
          <w:rPr>
            <w:rStyle w:val="Hyperlink"/>
            <w:bCs/>
          </w:rPr>
          <w:t>www.</w:t>
        </w:r>
        <w:r w:rsidR="00D860D0" w:rsidRPr="002D0180">
          <w:rPr>
            <w:rStyle w:val="Hyperlink"/>
            <w:bCs/>
          </w:rPr>
          <w:t>c</w:t>
        </w:r>
        <w:r w:rsidR="00D860D0" w:rsidRPr="002D0180">
          <w:rPr>
            <w:rStyle w:val="Hyperlink"/>
            <w:bCs/>
          </w:rPr>
          <w:t>ityofirvin</w:t>
        </w:r>
        <w:r w:rsidR="00D860D0" w:rsidRPr="002D0180">
          <w:rPr>
            <w:rStyle w:val="Hyperlink"/>
            <w:bCs/>
          </w:rPr>
          <w:t>e</w:t>
        </w:r>
        <w:r w:rsidR="00D860D0" w:rsidRPr="002D0180">
          <w:rPr>
            <w:rStyle w:val="Hyperlink"/>
            <w:bCs/>
          </w:rPr>
          <w:t>.org</w:t>
        </w:r>
      </w:hyperlink>
      <w:r w:rsidRPr="002C6CCA">
        <w:rPr>
          <w:bCs/>
        </w:rPr>
        <w:t xml:space="preserve"> in the </w:t>
      </w:r>
      <w:hyperlink r:id="rId16" w:history="1">
        <w:r w:rsidR="00D860D0">
          <w:rPr>
            <w:rStyle w:val="Hyperlink"/>
            <w:bCs/>
          </w:rPr>
          <w:t>form ca</w:t>
        </w:r>
        <w:r w:rsidR="00D860D0">
          <w:rPr>
            <w:rStyle w:val="Hyperlink"/>
            <w:bCs/>
          </w:rPr>
          <w:t>t</w:t>
        </w:r>
        <w:r w:rsidR="00D860D0">
          <w:rPr>
            <w:rStyle w:val="Hyperlink"/>
            <w:bCs/>
          </w:rPr>
          <w:t>alog</w:t>
        </w:r>
      </w:hyperlink>
      <w:r w:rsidRPr="002C6CCA">
        <w:rPr>
          <w:bCs/>
        </w:rPr>
        <w:t>)</w:t>
      </w:r>
    </w:p>
    <w:p w:rsidR="00F4493B" w:rsidRPr="002C6CCA" w:rsidRDefault="00F4493B" w:rsidP="00261F1F">
      <w:pPr>
        <w:autoSpaceDE w:val="0"/>
        <w:autoSpaceDN w:val="0"/>
        <w:adjustRightInd w:val="0"/>
        <w:rPr>
          <w:bCs/>
          <w:i/>
        </w:rPr>
      </w:pPr>
    </w:p>
    <w:p w:rsidR="003F38FE" w:rsidRPr="002C6CCA" w:rsidRDefault="007011FB" w:rsidP="00261F1F">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Cs/>
        </w:rPr>
        <w:tab/>
      </w:r>
      <w:r w:rsidR="00181B0F" w:rsidRPr="002C6CCA">
        <w:rPr>
          <w:bCs/>
        </w:rPr>
        <w:t xml:space="preserve">1. </w:t>
      </w:r>
      <w:r w:rsidR="002C2127" w:rsidRPr="002C6CCA">
        <w:t>A portion or the entire building is within the 65 CNEL contour for a freeway or expressway therefore exterior wall assemblies and roof or roof-ceiling assemblies shall meet the specified exterior wall assemblies and roof or roof-ceiling assemblies requirements stated above. For details and specifications see plan</w:t>
      </w:r>
      <w:r w:rsidR="00CF31EA">
        <w:t xml:space="preserve"> </w:t>
      </w:r>
      <w:r w:rsidR="002C2127" w:rsidRPr="002C6CCA">
        <w:t>sheets</w:t>
      </w:r>
      <w:r w:rsidR="002C6CCA">
        <w:t xml:space="preserve">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3F38FE" w:rsidRPr="002C6CCA">
        <w:rPr>
          <w:bCs/>
        </w:rPr>
        <w:t xml:space="preserve">. </w:t>
      </w:r>
    </w:p>
    <w:p w:rsidR="00181B0F" w:rsidRPr="002C6CCA" w:rsidRDefault="007011FB" w:rsidP="00080F82">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181B0F" w:rsidRPr="002C6CCA">
        <w:rPr>
          <w:bCs/>
        </w:rPr>
        <w:tab/>
        <w:t xml:space="preserve">2. A portion or the entire building is within the 65 CNEL contour for John Wayne Airport </w:t>
      </w:r>
      <w:r w:rsidR="0009663C" w:rsidRPr="002C6CCA">
        <w:rPr>
          <w:bCs/>
        </w:rPr>
        <w:t>therefore exterior</w:t>
      </w:r>
      <w:r w:rsidR="00181B0F" w:rsidRPr="002C6CCA">
        <w:rPr>
          <w:bCs/>
        </w:rPr>
        <w:t xml:space="preserve"> wall assemblies and roof or roof-ceiling assemblies </w:t>
      </w:r>
      <w:r w:rsidR="000C5755" w:rsidRPr="002C6CCA">
        <w:rPr>
          <w:bCs/>
        </w:rPr>
        <w:t>shall meet the specified exterior wall assemblies and roof or roof-ceiling assemblies requirements stated above.</w:t>
      </w:r>
      <w:r w:rsidR="00181B0F" w:rsidRPr="002C6CCA">
        <w:rPr>
          <w:bCs/>
        </w:rPr>
        <w:t xml:space="preserve"> For details and specifications see plan sheets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181B0F" w:rsidRPr="002C6CCA">
        <w:rPr>
          <w:bCs/>
        </w:rPr>
        <w:t xml:space="preserve">. </w:t>
      </w:r>
    </w:p>
    <w:p w:rsidR="00582F5F" w:rsidRPr="002C6CCA" w:rsidRDefault="007011FB" w:rsidP="00181B0F">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Cs/>
        </w:rPr>
        <w:tab/>
      </w:r>
      <w:r w:rsidR="00181B0F" w:rsidRPr="002C6CCA">
        <w:rPr>
          <w:bCs/>
        </w:rPr>
        <w:t xml:space="preserve">3. The project site fronts a street identified as producing </w:t>
      </w:r>
      <w:r w:rsidR="007D49E3" w:rsidRPr="002C6CCA">
        <w:rPr>
          <w:bCs/>
        </w:rPr>
        <w:t xml:space="preserve">65 </w:t>
      </w:r>
      <w:r w:rsidR="00181B0F" w:rsidRPr="002C6CCA">
        <w:rPr>
          <w:bCs/>
        </w:rPr>
        <w:t xml:space="preserve">CNEL contours extending beyond the right of way therefore </w:t>
      </w:r>
      <w:r w:rsidR="000C5755" w:rsidRPr="002C6CCA">
        <w:rPr>
          <w:bCs/>
        </w:rPr>
        <w:t>that portion of the building that is the contour shall meet the specified exterior wall assemblies and roof or roof-ceiling assemblies requirements stated above.</w:t>
      </w:r>
      <w:r w:rsidR="00181B0F" w:rsidRPr="002C6CCA">
        <w:rPr>
          <w:bCs/>
        </w:rPr>
        <w:t xml:space="preserve"> For details and specifications see plan sheets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181B0F" w:rsidRPr="002C6CCA">
        <w:rPr>
          <w:bCs/>
        </w:rPr>
        <w:t>.</w:t>
      </w:r>
    </w:p>
    <w:p w:rsidR="006911D4" w:rsidRPr="002C6CCA" w:rsidRDefault="007011FB" w:rsidP="006911D4">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Cs/>
        </w:rPr>
        <w:tab/>
      </w:r>
      <w:r w:rsidR="00364FA6" w:rsidRPr="002C6CCA">
        <w:rPr>
          <w:bCs/>
        </w:rPr>
        <w:t>This building is a factory, storage facility, utility building, enclosed parking structure or stadium</w:t>
      </w:r>
      <w:r w:rsidR="00181B0F" w:rsidRPr="002C6CCA">
        <w:rPr>
          <w:bCs/>
        </w:rPr>
        <w:t xml:space="preserve"> therefore no STC assemblies are required</w:t>
      </w:r>
      <w:r w:rsidR="00364FA6" w:rsidRPr="002C6CCA">
        <w:rPr>
          <w:bCs/>
        </w:rPr>
        <w:t>.</w:t>
      </w:r>
    </w:p>
    <w:p w:rsidR="000C5755" w:rsidRPr="002C6CCA" w:rsidRDefault="000C5755" w:rsidP="006911D4">
      <w:pPr>
        <w:autoSpaceDE w:val="0"/>
        <w:autoSpaceDN w:val="0"/>
        <w:adjustRightInd w:val="0"/>
        <w:ind w:left="720" w:hanging="720"/>
        <w:rPr>
          <w:bCs/>
          <w:sz w:val="20"/>
          <w:szCs w:val="20"/>
        </w:rPr>
      </w:pPr>
    </w:p>
    <w:p w:rsidR="000C5755" w:rsidRPr="00E67ACF" w:rsidRDefault="0009663C" w:rsidP="006911D4">
      <w:pPr>
        <w:autoSpaceDE w:val="0"/>
        <w:autoSpaceDN w:val="0"/>
        <w:adjustRightInd w:val="0"/>
        <w:ind w:left="720" w:hanging="720"/>
        <w:rPr>
          <w:b/>
          <w:bCs/>
        </w:rPr>
      </w:pPr>
      <w:r w:rsidRPr="00E67ACF">
        <w:rPr>
          <w:b/>
          <w:bCs/>
        </w:rPr>
        <w:t>Performance</w:t>
      </w:r>
      <w:r w:rsidR="000C5755" w:rsidRPr="00E67ACF">
        <w:rPr>
          <w:b/>
          <w:bCs/>
        </w:rPr>
        <w:t xml:space="preserve"> Method </w:t>
      </w:r>
    </w:p>
    <w:p w:rsidR="000C5755" w:rsidRPr="002C6CCA" w:rsidRDefault="000C5755" w:rsidP="006911D4">
      <w:pPr>
        <w:autoSpaceDE w:val="0"/>
        <w:autoSpaceDN w:val="0"/>
        <w:adjustRightInd w:val="0"/>
        <w:ind w:left="720" w:hanging="720"/>
        <w:rPr>
          <w:bCs/>
          <w:sz w:val="20"/>
          <w:szCs w:val="20"/>
        </w:rPr>
      </w:pPr>
    </w:p>
    <w:p w:rsidR="002440DD" w:rsidRPr="002C6CCA" w:rsidRDefault="007011FB" w:rsidP="006911D4">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6911D4" w:rsidRPr="002C6CCA">
        <w:rPr>
          <w:bCs/>
        </w:rPr>
        <w:tab/>
      </w:r>
      <w:r w:rsidR="002440DD" w:rsidRPr="002C6CCA">
        <w:rPr>
          <w:bCs/>
        </w:rPr>
        <w:t>Pursuant to Section 5.507.4.2</w:t>
      </w:r>
      <w:r w:rsidR="000C5755" w:rsidRPr="002C6CCA">
        <w:rPr>
          <w:bCs/>
        </w:rPr>
        <w:t xml:space="preserve">, site and building mitigations have been </w:t>
      </w:r>
      <w:r w:rsidR="002440DD" w:rsidRPr="002C6CCA">
        <w:rPr>
          <w:bCs/>
        </w:rPr>
        <w:t xml:space="preserve">defined based on a noise study prepared by an acoustical </w:t>
      </w:r>
      <w:r w:rsidR="0009663C" w:rsidRPr="002C6CCA">
        <w:rPr>
          <w:bCs/>
        </w:rPr>
        <w:t xml:space="preserve">engineer. </w:t>
      </w:r>
      <w:r w:rsidR="002440DD" w:rsidRPr="002C6CCA">
        <w:rPr>
          <w:bCs/>
        </w:rPr>
        <w:t xml:space="preserve">For a summary of features see plan sheets </w:t>
      </w:r>
      <w:r w:rsidR="003F7323" w:rsidRPr="002C6CCA">
        <w:rPr>
          <w:b/>
          <w:bCs/>
          <w:u w:val="single"/>
        </w:rPr>
        <w:fldChar w:fldCharType="begin">
          <w:ffData>
            <w:name w:val=""/>
            <w:enabled/>
            <w:calcOnExit w:val="0"/>
            <w:textInput>
              <w:maxLength w:val="12"/>
            </w:textInput>
          </w:ffData>
        </w:fldChar>
      </w:r>
      <w:r w:rsidR="003F7323" w:rsidRPr="002C6CCA">
        <w:rPr>
          <w:b/>
          <w:bCs/>
          <w:u w:val="single"/>
        </w:rPr>
        <w:instrText xml:space="preserve"> FORMTEXT </w:instrText>
      </w:r>
      <w:r w:rsidR="003F7323" w:rsidRPr="002C6CCA">
        <w:rPr>
          <w:b/>
          <w:bCs/>
          <w:u w:val="single"/>
        </w:rPr>
      </w:r>
      <w:r w:rsidR="003F7323" w:rsidRPr="002C6CCA">
        <w:rPr>
          <w:b/>
          <w:bCs/>
          <w:u w:val="single"/>
        </w:rPr>
        <w:fldChar w:fldCharType="separate"/>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u w:val="single"/>
        </w:rPr>
        <w:fldChar w:fldCharType="end"/>
      </w:r>
      <w:r w:rsidR="002440DD" w:rsidRPr="002C6CCA">
        <w:rPr>
          <w:bCs/>
        </w:rPr>
        <w:t xml:space="preserve">. For construction details see sheets </w:t>
      </w:r>
      <w:r w:rsidR="003F7323" w:rsidRPr="002C6CCA">
        <w:rPr>
          <w:b/>
          <w:bCs/>
          <w:u w:val="single"/>
        </w:rPr>
        <w:fldChar w:fldCharType="begin">
          <w:ffData>
            <w:name w:val=""/>
            <w:enabled/>
            <w:calcOnExit w:val="0"/>
            <w:textInput>
              <w:maxLength w:val="12"/>
            </w:textInput>
          </w:ffData>
        </w:fldChar>
      </w:r>
      <w:r w:rsidR="003F7323" w:rsidRPr="002C6CCA">
        <w:rPr>
          <w:b/>
          <w:bCs/>
          <w:u w:val="single"/>
        </w:rPr>
        <w:instrText xml:space="preserve"> FORMTEXT </w:instrText>
      </w:r>
      <w:r w:rsidR="003F7323" w:rsidRPr="002C6CCA">
        <w:rPr>
          <w:b/>
          <w:bCs/>
          <w:u w:val="single"/>
        </w:rPr>
      </w:r>
      <w:r w:rsidR="003F7323" w:rsidRPr="002C6CCA">
        <w:rPr>
          <w:b/>
          <w:bCs/>
          <w:u w:val="single"/>
        </w:rPr>
        <w:fldChar w:fldCharType="separate"/>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noProof/>
          <w:u w:val="single"/>
        </w:rPr>
        <w:t> </w:t>
      </w:r>
      <w:r w:rsidR="003F7323" w:rsidRPr="002C6CCA">
        <w:rPr>
          <w:b/>
          <w:bCs/>
          <w:u w:val="single"/>
        </w:rPr>
        <w:fldChar w:fldCharType="end"/>
      </w:r>
      <w:r w:rsidR="003F7323" w:rsidRPr="002C6CCA">
        <w:rPr>
          <w:bCs/>
        </w:rPr>
        <w:t xml:space="preserve"> </w:t>
      </w:r>
    </w:p>
    <w:p w:rsidR="00364FA6" w:rsidRPr="002C6CCA" w:rsidRDefault="003F7323" w:rsidP="003F7323">
      <w:pPr>
        <w:autoSpaceDE w:val="0"/>
        <w:autoSpaceDN w:val="0"/>
        <w:adjustRightInd w:val="0"/>
        <w:spacing w:before="6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Pr="002C6CCA">
        <w:rPr>
          <w:b/>
          <w:bCs/>
          <w:sz w:val="20"/>
          <w:szCs w:val="20"/>
          <w:u w:val="single"/>
        </w:rPr>
      </w:r>
      <w:r w:rsidRPr="002C6CCA">
        <w:rPr>
          <w:b/>
          <w:bCs/>
          <w:sz w:val="20"/>
          <w:szCs w:val="20"/>
          <w:u w:val="single"/>
        </w:rPr>
        <w:fldChar w:fldCharType="end"/>
      </w:r>
      <w:r w:rsidRPr="002C6CCA">
        <w:rPr>
          <w:bCs/>
        </w:rPr>
        <w:tab/>
      </w:r>
      <w:r w:rsidR="002440DD" w:rsidRPr="002C6CCA">
        <w:rPr>
          <w:bCs/>
        </w:rPr>
        <w:t>Prior to final inspection an acoustical report shall be provided to the City Inspector which demonstrates</w:t>
      </w:r>
      <w:r w:rsidR="00DD2F6A" w:rsidRPr="002C6CCA">
        <w:rPr>
          <w:bCs/>
        </w:rPr>
        <w:t xml:space="preserve"> complying interior noise sound levels.</w:t>
      </w:r>
      <w:r w:rsidR="002440DD" w:rsidRPr="002C6CCA">
        <w:rPr>
          <w:bCs/>
        </w:rPr>
        <w:t xml:space="preserve"> Said report shall be signed and stamped by an acoustical engineer.</w:t>
      </w:r>
    </w:p>
    <w:p w:rsidR="003F38FE" w:rsidRPr="002C6CCA" w:rsidRDefault="003F38FE" w:rsidP="003F38FE">
      <w:pPr>
        <w:autoSpaceDE w:val="0"/>
        <w:autoSpaceDN w:val="0"/>
        <w:adjustRightInd w:val="0"/>
        <w:ind w:left="360"/>
        <w:rPr>
          <w:bCs/>
        </w:rPr>
      </w:pPr>
    </w:p>
    <w:p w:rsidR="003F38FE" w:rsidRPr="002C6CCA" w:rsidRDefault="003F38FE" w:rsidP="003F38FE">
      <w:pPr>
        <w:autoSpaceDE w:val="0"/>
        <w:autoSpaceDN w:val="0"/>
        <w:adjustRightInd w:val="0"/>
        <w:ind w:left="360" w:hanging="360"/>
        <w:rPr>
          <w:b/>
          <w:bCs/>
        </w:rPr>
      </w:pPr>
      <w:r w:rsidRPr="002C6CCA">
        <w:rPr>
          <w:b/>
          <w:bCs/>
        </w:rPr>
        <w:t>Interior Sound</w:t>
      </w:r>
    </w:p>
    <w:p w:rsidR="00B466B3" w:rsidRPr="002C6CCA" w:rsidRDefault="007011FB" w:rsidP="00080F82">
      <w:pPr>
        <w:autoSpaceDE w:val="0"/>
        <w:autoSpaceDN w:val="0"/>
        <w:adjustRightInd w:val="0"/>
        <w:ind w:left="720" w:hanging="720"/>
        <w:rPr>
          <w:bCs/>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color w:val="231F20"/>
        </w:rPr>
        <w:tab/>
      </w:r>
      <w:r w:rsidR="00BC371B" w:rsidRPr="002C6CCA">
        <w:rPr>
          <w:color w:val="231F20"/>
        </w:rPr>
        <w:t>Wall and floor-ceiling assemblies</w:t>
      </w:r>
      <w:r w:rsidR="00364FA6" w:rsidRPr="002C6CCA">
        <w:rPr>
          <w:color w:val="231F20"/>
        </w:rPr>
        <w:t xml:space="preserve"> </w:t>
      </w:r>
      <w:r w:rsidR="00BC371B" w:rsidRPr="002C6CCA">
        <w:rPr>
          <w:color w:val="231F20"/>
        </w:rPr>
        <w:t>separating tenant spaces and tenant spaces and public</w:t>
      </w:r>
      <w:r w:rsidR="00364FA6" w:rsidRPr="002C6CCA">
        <w:rPr>
          <w:color w:val="231F20"/>
        </w:rPr>
        <w:t xml:space="preserve"> </w:t>
      </w:r>
      <w:r w:rsidR="00BC371B" w:rsidRPr="002C6CCA">
        <w:rPr>
          <w:color w:val="231F20"/>
        </w:rPr>
        <w:t>places shall have an STC of at least 40.</w:t>
      </w:r>
      <w:r w:rsidR="00364FA6" w:rsidRPr="002C6CCA">
        <w:rPr>
          <w:color w:val="231F20"/>
        </w:rPr>
        <w:t xml:space="preserve"> </w:t>
      </w:r>
      <w:r w:rsidR="00BC371B" w:rsidRPr="002C6CCA">
        <w:rPr>
          <w:bCs/>
          <w:color w:val="231F20"/>
        </w:rPr>
        <w:t>Note:</w:t>
      </w:r>
      <w:r w:rsidR="00BC371B" w:rsidRPr="002C6CCA">
        <w:rPr>
          <w:b/>
          <w:bCs/>
          <w:color w:val="231F20"/>
        </w:rPr>
        <w:t xml:space="preserve"> </w:t>
      </w:r>
      <w:r w:rsidR="00BC371B" w:rsidRPr="002C6CCA">
        <w:rPr>
          <w:color w:val="231F20"/>
        </w:rPr>
        <w:t>Examples of assemblies and their various STC ratings</w:t>
      </w:r>
      <w:r w:rsidR="00364FA6" w:rsidRPr="002C6CCA">
        <w:rPr>
          <w:color w:val="231F20"/>
        </w:rPr>
        <w:t xml:space="preserve"> </w:t>
      </w:r>
      <w:r w:rsidR="00BC371B" w:rsidRPr="002C6CCA">
        <w:rPr>
          <w:color w:val="231F20"/>
        </w:rPr>
        <w:t xml:space="preserve">may be found </w:t>
      </w:r>
      <w:r w:rsidR="00540094" w:rsidRPr="002C6CCA">
        <w:rPr>
          <w:color w:val="231F20"/>
        </w:rPr>
        <w:t>at the Cal</w:t>
      </w:r>
      <w:r w:rsidR="00642967" w:rsidRPr="002C6CCA">
        <w:rPr>
          <w:color w:val="231F20"/>
        </w:rPr>
        <w:t>ifornia Office of Noise Control @ http://www.toolbase.org/PDF/Case Studies/stc_icc_ratings.pdf</w:t>
      </w:r>
      <w:r w:rsidR="00BC371B" w:rsidRPr="002C6CCA">
        <w:rPr>
          <w:color w:val="231F20"/>
        </w:rPr>
        <w:t>.</w:t>
      </w:r>
      <w:r w:rsidR="009D2DDB" w:rsidRPr="002C6CCA">
        <w:rPr>
          <w:bCs/>
        </w:rPr>
        <w:t xml:space="preserve"> For details and specifications see plan sheets </w:t>
      </w:r>
      <w:r w:rsidR="005A5273" w:rsidRPr="002C6CCA">
        <w:rPr>
          <w:b/>
          <w:bCs/>
          <w:u w:val="single"/>
        </w:rPr>
        <w:fldChar w:fldCharType="begin">
          <w:ffData>
            <w:name w:val=""/>
            <w:enabled/>
            <w:calcOnExit w:val="0"/>
            <w:textInput>
              <w:maxLength w:val="12"/>
            </w:textInput>
          </w:ffData>
        </w:fldChar>
      </w:r>
      <w:r w:rsidR="005A5273" w:rsidRPr="002C6CCA">
        <w:rPr>
          <w:b/>
          <w:bCs/>
          <w:u w:val="single"/>
        </w:rPr>
        <w:instrText xml:space="preserve"> FORMTEXT </w:instrText>
      </w:r>
      <w:r w:rsidR="005A5273" w:rsidRPr="002C6CCA">
        <w:rPr>
          <w:b/>
          <w:bCs/>
          <w:u w:val="single"/>
        </w:rPr>
      </w:r>
      <w:r w:rsidR="005A5273" w:rsidRPr="002C6CCA">
        <w:rPr>
          <w:b/>
          <w:bCs/>
          <w:u w:val="single"/>
        </w:rPr>
        <w:fldChar w:fldCharType="separate"/>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noProof/>
          <w:u w:val="single"/>
        </w:rPr>
        <w:t> </w:t>
      </w:r>
      <w:r w:rsidR="005A5273" w:rsidRPr="002C6CCA">
        <w:rPr>
          <w:b/>
          <w:bCs/>
          <w:u w:val="single"/>
        </w:rPr>
        <w:fldChar w:fldCharType="end"/>
      </w:r>
      <w:r w:rsidR="009D2DDB" w:rsidRPr="002C6CCA">
        <w:rPr>
          <w:bCs/>
        </w:rPr>
        <w:t xml:space="preserve">. </w:t>
      </w:r>
    </w:p>
    <w:p w:rsidR="00364FA6" w:rsidRPr="002C6CCA" w:rsidRDefault="007011FB" w:rsidP="00364FA6">
      <w:pPr>
        <w:autoSpaceDE w:val="0"/>
        <w:autoSpaceDN w:val="0"/>
        <w:adjustRightInd w:val="0"/>
        <w:ind w:left="360" w:hanging="360"/>
        <w:rPr>
          <w:color w:val="231F20"/>
        </w:rPr>
      </w:pPr>
      <w:r w:rsidRPr="002C6CCA">
        <w:rPr>
          <w:b/>
          <w:bCs/>
          <w:sz w:val="20"/>
          <w:szCs w:val="20"/>
          <w:u w:val="single"/>
        </w:rPr>
        <w:fldChar w:fldCharType="begin">
          <w:ffData>
            <w:name w:val="Dropdown1"/>
            <w:enabled/>
            <w:calcOnExit w:val="0"/>
            <w:ddList>
              <w:listEntry w:val="      "/>
              <w:listEntry w:val=" X "/>
              <w:listEntry w:val="N/A"/>
            </w:ddList>
          </w:ffData>
        </w:fldChar>
      </w:r>
      <w:r w:rsidRPr="002C6CCA">
        <w:rPr>
          <w:b/>
          <w:bCs/>
          <w:sz w:val="20"/>
          <w:szCs w:val="20"/>
          <w:u w:val="single"/>
        </w:rPr>
        <w:instrText xml:space="preserve"> FORMDROPDOWN </w:instrText>
      </w:r>
      <w:r w:rsidR="00CA19A4" w:rsidRPr="002C6CCA">
        <w:rPr>
          <w:b/>
          <w:bCs/>
          <w:sz w:val="20"/>
          <w:szCs w:val="20"/>
          <w:u w:val="single"/>
        </w:rPr>
      </w:r>
      <w:r w:rsidRPr="002C6CCA">
        <w:rPr>
          <w:b/>
          <w:bCs/>
          <w:sz w:val="20"/>
          <w:szCs w:val="20"/>
          <w:u w:val="single"/>
        </w:rPr>
        <w:fldChar w:fldCharType="end"/>
      </w:r>
      <w:r w:rsidR="00080F82" w:rsidRPr="002C6CCA">
        <w:rPr>
          <w:bCs/>
        </w:rPr>
        <w:tab/>
      </w:r>
      <w:r w:rsidR="002A0ABF" w:rsidRPr="002C6CCA">
        <w:rPr>
          <w:bCs/>
        </w:rPr>
        <w:tab/>
      </w:r>
      <w:r w:rsidR="00364FA6" w:rsidRPr="002C6CCA">
        <w:rPr>
          <w:bCs/>
        </w:rPr>
        <w:t xml:space="preserve">No interior walls separate tenant spaces or </w:t>
      </w:r>
      <w:r w:rsidR="009D2DDB" w:rsidRPr="002C6CCA">
        <w:rPr>
          <w:bCs/>
        </w:rPr>
        <w:t>occupant spaces and public areas.</w:t>
      </w:r>
    </w:p>
    <w:p w:rsidR="00B466B3" w:rsidRPr="002C6CCA" w:rsidRDefault="00B466B3" w:rsidP="0032084F">
      <w:pPr>
        <w:autoSpaceDE w:val="0"/>
        <w:autoSpaceDN w:val="0"/>
        <w:adjustRightInd w:val="0"/>
        <w:rPr>
          <w:b/>
          <w:bCs/>
        </w:rPr>
      </w:pPr>
    </w:p>
    <w:p w:rsidR="009D2DDB" w:rsidRPr="002C6CCA" w:rsidRDefault="009D2DDB" w:rsidP="0032084F">
      <w:pPr>
        <w:autoSpaceDE w:val="0"/>
        <w:autoSpaceDN w:val="0"/>
        <w:adjustRightInd w:val="0"/>
        <w:rPr>
          <w:b/>
          <w:bCs/>
          <w:sz w:val="20"/>
          <w:szCs w:val="20"/>
        </w:rPr>
      </w:pPr>
    </w:p>
    <w:sectPr w:rsidR="009D2DDB" w:rsidRPr="002C6CCA" w:rsidSect="008414EF">
      <w:footerReference w:type="default" r:id="rId17"/>
      <w:type w:val="continuous"/>
      <w:pgSz w:w="12240" w:h="15840"/>
      <w:pgMar w:top="864" w:right="1440" w:bottom="864"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8">
      <wne:acd wne:acdName="acd0"/>
    </wne:keymap>
  </wne:keymaps>
  <wne:toolbars>
    <wne:acdManifest>
      <wne:acdEntry wne:acdName="acd0"/>
    </wne:acdManifest>
  </wne:toolbars>
  <wne:acds>
    <wne:acd wne:argValue="UPBXAGkAbgBnAGQAaQBuAGcAcwAgADI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35" w:rsidRDefault="00FC7535">
      <w:r>
        <w:separator/>
      </w:r>
    </w:p>
  </w:endnote>
  <w:endnote w:type="continuationSeparator" w:id="0">
    <w:p w:rsidR="00FC7535" w:rsidRDefault="00F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F" w:rsidRDefault="002D753F" w:rsidP="0062756F">
    <w:pPr>
      <w:pStyle w:val="Footer"/>
      <w:jc w:val="right"/>
      <w:rPr>
        <w:rStyle w:val="PageNumber"/>
        <w:rFonts w:ascii="Arial" w:hAnsi="Arial" w:cs="Arial"/>
        <w:sz w:val="16"/>
        <w:szCs w:val="16"/>
      </w:rPr>
    </w:pPr>
    <w:r w:rsidRPr="0062756F">
      <w:rPr>
        <w:rStyle w:val="PageNumber"/>
        <w:rFonts w:ascii="Arial" w:hAnsi="Arial" w:cs="Arial"/>
        <w:sz w:val="16"/>
        <w:szCs w:val="16"/>
      </w:rPr>
      <w:t>FORM 66-113</w:t>
    </w:r>
  </w:p>
  <w:p w:rsidR="002D753F" w:rsidRPr="0062756F" w:rsidRDefault="00A30D14" w:rsidP="00325A59">
    <w:pPr>
      <w:pStyle w:val="Footer"/>
      <w:spacing w:before="40"/>
      <w:jc w:val="right"/>
      <w:rPr>
        <w:rStyle w:val="PageNumber"/>
        <w:rFonts w:ascii="Arial" w:hAnsi="Arial" w:cs="Arial"/>
        <w:sz w:val="16"/>
        <w:szCs w:val="16"/>
      </w:rPr>
    </w:pPr>
    <w:r>
      <w:rPr>
        <w:rStyle w:val="PageNumber"/>
        <w:rFonts w:ascii="Arial" w:hAnsi="Arial" w:cs="Arial"/>
        <w:sz w:val="16"/>
        <w:szCs w:val="16"/>
      </w:rPr>
      <w:t>Revised 1</w:t>
    </w:r>
    <w:r w:rsidR="002D753F">
      <w:rPr>
        <w:rStyle w:val="PageNumber"/>
        <w:rFonts w:ascii="Arial" w:hAnsi="Arial" w:cs="Arial"/>
        <w:sz w:val="16"/>
        <w:szCs w:val="16"/>
      </w:rPr>
      <w:t>/</w:t>
    </w:r>
    <w:r>
      <w:rPr>
        <w:rStyle w:val="PageNumber"/>
        <w:rFonts w:ascii="Arial" w:hAnsi="Arial" w:cs="Arial"/>
        <w:sz w:val="16"/>
        <w:szCs w:val="16"/>
      </w:rPr>
      <w:t>1</w:t>
    </w:r>
    <w:r w:rsidR="002D753F">
      <w:rPr>
        <w:rStyle w:val="PageNumber"/>
        <w:rFonts w:ascii="Arial" w:hAnsi="Arial" w:cs="Arial"/>
        <w:sz w:val="16"/>
        <w:szCs w:val="16"/>
      </w:rPr>
      <w:t>/1</w:t>
    </w:r>
    <w:r>
      <w:rPr>
        <w:rStyle w:val="PageNumber"/>
        <w:rFonts w:ascii="Arial" w:hAnsi="Arial" w:cs="Arial"/>
        <w:sz w:val="16"/>
        <w:szCs w:val="16"/>
      </w:rPr>
      <w:t>4</w:t>
    </w:r>
  </w:p>
  <w:p w:rsidR="002D753F" w:rsidRPr="00755BC8" w:rsidRDefault="002D753F" w:rsidP="00755BC8">
    <w:pPr>
      <w:pStyle w:val="Footer"/>
      <w:jc w:val="center"/>
      <w:rPr>
        <w:rFonts w:ascii="Arial" w:hAnsi="Arial" w:cs="Arial"/>
        <w:sz w:val="22"/>
        <w:szCs w:val="22"/>
      </w:rPr>
    </w:pPr>
    <w:r w:rsidRPr="00755BC8">
      <w:rPr>
        <w:rStyle w:val="PageNumber"/>
        <w:rFonts w:ascii="Arial" w:hAnsi="Arial" w:cs="Arial"/>
        <w:sz w:val="22"/>
        <w:szCs w:val="22"/>
      </w:rPr>
      <w:fldChar w:fldCharType="begin"/>
    </w:r>
    <w:r w:rsidRPr="00755BC8">
      <w:rPr>
        <w:rStyle w:val="PageNumber"/>
        <w:rFonts w:ascii="Arial" w:hAnsi="Arial" w:cs="Arial"/>
        <w:sz w:val="22"/>
        <w:szCs w:val="22"/>
      </w:rPr>
      <w:instrText xml:space="preserve"> PAGE </w:instrText>
    </w:r>
    <w:r w:rsidRPr="00755BC8">
      <w:rPr>
        <w:rStyle w:val="PageNumber"/>
        <w:rFonts w:ascii="Arial" w:hAnsi="Arial" w:cs="Arial"/>
        <w:sz w:val="22"/>
        <w:szCs w:val="22"/>
      </w:rPr>
      <w:fldChar w:fldCharType="separate"/>
    </w:r>
    <w:r w:rsidR="00DC5B83">
      <w:rPr>
        <w:rStyle w:val="PageNumber"/>
        <w:rFonts w:ascii="Arial" w:hAnsi="Arial" w:cs="Arial"/>
        <w:noProof/>
        <w:sz w:val="22"/>
        <w:szCs w:val="22"/>
      </w:rPr>
      <w:t>1</w:t>
    </w:r>
    <w:r w:rsidRPr="00755BC8">
      <w:rPr>
        <w:rStyle w:val="PageNumber"/>
        <w:rFonts w:ascii="Arial" w:hAnsi="Arial" w:cs="Arial"/>
        <w:sz w:val="22"/>
        <w:szCs w:val="22"/>
      </w:rPr>
      <w:fldChar w:fldCharType="end"/>
    </w:r>
    <w:r w:rsidRPr="00755BC8">
      <w:rPr>
        <w:rStyle w:val="PageNumber"/>
        <w:rFonts w:ascii="Arial" w:hAnsi="Arial" w:cs="Arial"/>
        <w:sz w:val="22"/>
        <w:szCs w:val="22"/>
      </w:rPr>
      <w:t xml:space="preserve"> of </w:t>
    </w:r>
    <w:r w:rsidRPr="00755BC8">
      <w:rPr>
        <w:rStyle w:val="PageNumber"/>
        <w:rFonts w:ascii="Arial" w:hAnsi="Arial" w:cs="Arial"/>
        <w:sz w:val="22"/>
        <w:szCs w:val="22"/>
      </w:rPr>
      <w:fldChar w:fldCharType="begin"/>
    </w:r>
    <w:r w:rsidRPr="00755BC8">
      <w:rPr>
        <w:rStyle w:val="PageNumber"/>
        <w:rFonts w:ascii="Arial" w:hAnsi="Arial" w:cs="Arial"/>
        <w:sz w:val="22"/>
        <w:szCs w:val="22"/>
      </w:rPr>
      <w:instrText xml:space="preserve"> NUMPAGES </w:instrText>
    </w:r>
    <w:r w:rsidRPr="00755BC8">
      <w:rPr>
        <w:rStyle w:val="PageNumber"/>
        <w:rFonts w:ascii="Arial" w:hAnsi="Arial" w:cs="Arial"/>
        <w:sz w:val="22"/>
        <w:szCs w:val="22"/>
      </w:rPr>
      <w:fldChar w:fldCharType="separate"/>
    </w:r>
    <w:r w:rsidR="00DC5B83">
      <w:rPr>
        <w:rStyle w:val="PageNumber"/>
        <w:rFonts w:ascii="Arial" w:hAnsi="Arial" w:cs="Arial"/>
        <w:noProof/>
        <w:sz w:val="22"/>
        <w:szCs w:val="22"/>
      </w:rPr>
      <w:t>6</w:t>
    </w:r>
    <w:r w:rsidRPr="00755BC8">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35" w:rsidRDefault="00FC7535">
      <w:r>
        <w:separator/>
      </w:r>
    </w:p>
  </w:footnote>
  <w:footnote w:type="continuationSeparator" w:id="0">
    <w:p w:rsidR="00FC7535" w:rsidRDefault="00FC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9C"/>
    <w:multiLevelType w:val="hybridMultilevel"/>
    <w:tmpl w:val="68A0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AE7F35"/>
    <w:multiLevelType w:val="hybridMultilevel"/>
    <w:tmpl w:val="ACFA8A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B1605F"/>
    <w:multiLevelType w:val="hybridMultilevel"/>
    <w:tmpl w:val="377CF5C2"/>
    <w:lvl w:ilvl="0" w:tplc="7AEC4F50">
      <w:numFmt w:val="bullet"/>
      <w:lvlText w:val=""/>
      <w:lvlJc w:val="left"/>
      <w:pPr>
        <w:ind w:left="720" w:hanging="360"/>
      </w:pPr>
      <w:rPr>
        <w:rFonts w:ascii="Symbol" w:eastAsia="Times New Roman"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82EF3"/>
    <w:multiLevelType w:val="hybridMultilevel"/>
    <w:tmpl w:val="C7E8A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731D06"/>
    <w:multiLevelType w:val="hybridMultilevel"/>
    <w:tmpl w:val="61B261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2911C7"/>
    <w:multiLevelType w:val="hybridMultilevel"/>
    <w:tmpl w:val="41F23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9F1C94"/>
    <w:multiLevelType w:val="hybridMultilevel"/>
    <w:tmpl w:val="10AA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E57D07"/>
    <w:multiLevelType w:val="hybridMultilevel"/>
    <w:tmpl w:val="85E6388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521A7C27"/>
    <w:multiLevelType w:val="hybridMultilevel"/>
    <w:tmpl w:val="C148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E74934"/>
    <w:multiLevelType w:val="hybridMultilevel"/>
    <w:tmpl w:val="39A61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E050886"/>
    <w:multiLevelType w:val="hybridMultilevel"/>
    <w:tmpl w:val="71AE87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E7843AB"/>
    <w:multiLevelType w:val="hybridMultilevel"/>
    <w:tmpl w:val="CDF48740"/>
    <w:lvl w:ilvl="0" w:tplc="AB127EC4">
      <w:numFmt w:val="bullet"/>
      <w:lvlText w:val=""/>
      <w:lvlJc w:val="left"/>
      <w:pPr>
        <w:tabs>
          <w:tab w:val="num" w:pos="720"/>
        </w:tabs>
        <w:ind w:left="720" w:hanging="360"/>
      </w:pPr>
      <w:rPr>
        <w:rFonts w:ascii="Symbol" w:eastAsia="Times New Roman" w:hAnsi="Symbol" w:cs="Times-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4450B9"/>
    <w:multiLevelType w:val="hybridMultilevel"/>
    <w:tmpl w:val="11EAC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2"/>
  </w:num>
  <w:num w:numId="5">
    <w:abstractNumId w:val="5"/>
  </w:num>
  <w:num w:numId="6">
    <w:abstractNumId w:val="9"/>
  </w:num>
  <w:num w:numId="7">
    <w:abstractNumId w:val="3"/>
  </w:num>
  <w:num w:numId="8">
    <w:abstractNumId w:val="11"/>
  </w:num>
  <w:num w:numId="9">
    <w:abstractNumId w:val="10"/>
  </w:num>
  <w:num w:numId="10">
    <w:abstractNumId w:val="4"/>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Kc8v96VMljSl7ATOsaWLsriRxw=" w:salt="5mmTS8zzdk7mebk269Ry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4F"/>
    <w:rsid w:val="00002971"/>
    <w:rsid w:val="00021E27"/>
    <w:rsid w:val="0002750B"/>
    <w:rsid w:val="00031655"/>
    <w:rsid w:val="00035CAD"/>
    <w:rsid w:val="000365C6"/>
    <w:rsid w:val="00042082"/>
    <w:rsid w:val="000440D8"/>
    <w:rsid w:val="00047A30"/>
    <w:rsid w:val="000531D0"/>
    <w:rsid w:val="00061F01"/>
    <w:rsid w:val="000748BE"/>
    <w:rsid w:val="00080F82"/>
    <w:rsid w:val="00082F00"/>
    <w:rsid w:val="0008615A"/>
    <w:rsid w:val="00086D9A"/>
    <w:rsid w:val="00090A7D"/>
    <w:rsid w:val="00095114"/>
    <w:rsid w:val="0009663C"/>
    <w:rsid w:val="000B1F94"/>
    <w:rsid w:val="000B3CD0"/>
    <w:rsid w:val="000C5755"/>
    <w:rsid w:val="000F4F2A"/>
    <w:rsid w:val="001002A8"/>
    <w:rsid w:val="00104688"/>
    <w:rsid w:val="00113C39"/>
    <w:rsid w:val="00143B82"/>
    <w:rsid w:val="00162F59"/>
    <w:rsid w:val="0016455E"/>
    <w:rsid w:val="00172565"/>
    <w:rsid w:val="00173DF7"/>
    <w:rsid w:val="00180DC1"/>
    <w:rsid w:val="00181B0F"/>
    <w:rsid w:val="00184B42"/>
    <w:rsid w:val="00191011"/>
    <w:rsid w:val="00191F6B"/>
    <w:rsid w:val="001A4977"/>
    <w:rsid w:val="001A4AC2"/>
    <w:rsid w:val="001A5C63"/>
    <w:rsid w:val="001A5EFD"/>
    <w:rsid w:val="001A62A0"/>
    <w:rsid w:val="001B000A"/>
    <w:rsid w:val="001C59F4"/>
    <w:rsid w:val="001C664E"/>
    <w:rsid w:val="001E1BEB"/>
    <w:rsid w:val="001E6DCC"/>
    <w:rsid w:val="001F18CE"/>
    <w:rsid w:val="001F4143"/>
    <w:rsid w:val="002009C6"/>
    <w:rsid w:val="00200E3D"/>
    <w:rsid w:val="0020423F"/>
    <w:rsid w:val="00212695"/>
    <w:rsid w:val="00240B07"/>
    <w:rsid w:val="00241F8D"/>
    <w:rsid w:val="00243531"/>
    <w:rsid w:val="002440DD"/>
    <w:rsid w:val="00252F7D"/>
    <w:rsid w:val="00261F1F"/>
    <w:rsid w:val="00272975"/>
    <w:rsid w:val="00274731"/>
    <w:rsid w:val="00275883"/>
    <w:rsid w:val="002771CB"/>
    <w:rsid w:val="00281754"/>
    <w:rsid w:val="00282334"/>
    <w:rsid w:val="0028357E"/>
    <w:rsid w:val="00283CF7"/>
    <w:rsid w:val="002860B2"/>
    <w:rsid w:val="002A0ABF"/>
    <w:rsid w:val="002B141E"/>
    <w:rsid w:val="002C2127"/>
    <w:rsid w:val="002C27C5"/>
    <w:rsid w:val="002C6CCA"/>
    <w:rsid w:val="002C7DF1"/>
    <w:rsid w:val="002D753F"/>
    <w:rsid w:val="002F460A"/>
    <w:rsid w:val="00314CBA"/>
    <w:rsid w:val="0032084F"/>
    <w:rsid w:val="00321AB0"/>
    <w:rsid w:val="00321D42"/>
    <w:rsid w:val="00325A59"/>
    <w:rsid w:val="0033187A"/>
    <w:rsid w:val="00331F7B"/>
    <w:rsid w:val="00336761"/>
    <w:rsid w:val="00350716"/>
    <w:rsid w:val="00350ACE"/>
    <w:rsid w:val="00364FA6"/>
    <w:rsid w:val="003720CA"/>
    <w:rsid w:val="0039321C"/>
    <w:rsid w:val="00394ED3"/>
    <w:rsid w:val="003969DB"/>
    <w:rsid w:val="00397E2F"/>
    <w:rsid w:val="003A14DC"/>
    <w:rsid w:val="003A3236"/>
    <w:rsid w:val="003A38B0"/>
    <w:rsid w:val="003B292B"/>
    <w:rsid w:val="003B2F16"/>
    <w:rsid w:val="003C3BBC"/>
    <w:rsid w:val="003C7AAE"/>
    <w:rsid w:val="003F0746"/>
    <w:rsid w:val="003F1BD9"/>
    <w:rsid w:val="003F38FE"/>
    <w:rsid w:val="003F7323"/>
    <w:rsid w:val="00403D5C"/>
    <w:rsid w:val="00417916"/>
    <w:rsid w:val="00423347"/>
    <w:rsid w:val="00445A7C"/>
    <w:rsid w:val="004550FD"/>
    <w:rsid w:val="00470E63"/>
    <w:rsid w:val="00483116"/>
    <w:rsid w:val="004A57C4"/>
    <w:rsid w:val="004B48BB"/>
    <w:rsid w:val="004C0C4C"/>
    <w:rsid w:val="004C7E77"/>
    <w:rsid w:val="004D1610"/>
    <w:rsid w:val="004D52BB"/>
    <w:rsid w:val="004D7F1F"/>
    <w:rsid w:val="004F332A"/>
    <w:rsid w:val="004F5959"/>
    <w:rsid w:val="00503D32"/>
    <w:rsid w:val="00504B59"/>
    <w:rsid w:val="0050702E"/>
    <w:rsid w:val="005236D3"/>
    <w:rsid w:val="00540094"/>
    <w:rsid w:val="00555243"/>
    <w:rsid w:val="00557E63"/>
    <w:rsid w:val="00570AA3"/>
    <w:rsid w:val="00575E8F"/>
    <w:rsid w:val="00582F5F"/>
    <w:rsid w:val="0058346E"/>
    <w:rsid w:val="00586C64"/>
    <w:rsid w:val="005873D8"/>
    <w:rsid w:val="005A5273"/>
    <w:rsid w:val="005A58D0"/>
    <w:rsid w:val="005C37A0"/>
    <w:rsid w:val="005C7352"/>
    <w:rsid w:val="005D0AD5"/>
    <w:rsid w:val="005E1303"/>
    <w:rsid w:val="005E4EFE"/>
    <w:rsid w:val="005F0C59"/>
    <w:rsid w:val="005F1BCE"/>
    <w:rsid w:val="0060406A"/>
    <w:rsid w:val="00605523"/>
    <w:rsid w:val="00612F87"/>
    <w:rsid w:val="00624201"/>
    <w:rsid w:val="00625CDE"/>
    <w:rsid w:val="0062756F"/>
    <w:rsid w:val="0063383B"/>
    <w:rsid w:val="00634AB5"/>
    <w:rsid w:val="00642967"/>
    <w:rsid w:val="0064343E"/>
    <w:rsid w:val="00644C3A"/>
    <w:rsid w:val="00645887"/>
    <w:rsid w:val="00647F57"/>
    <w:rsid w:val="00652319"/>
    <w:rsid w:val="00672696"/>
    <w:rsid w:val="006730EC"/>
    <w:rsid w:val="006734D2"/>
    <w:rsid w:val="00676E6A"/>
    <w:rsid w:val="006911D4"/>
    <w:rsid w:val="00696A3F"/>
    <w:rsid w:val="006A055D"/>
    <w:rsid w:val="006A1D88"/>
    <w:rsid w:val="006A1D8E"/>
    <w:rsid w:val="006A223D"/>
    <w:rsid w:val="006A7555"/>
    <w:rsid w:val="006B664A"/>
    <w:rsid w:val="006C1C1D"/>
    <w:rsid w:val="006C4B5E"/>
    <w:rsid w:val="006E08E2"/>
    <w:rsid w:val="006E1D0D"/>
    <w:rsid w:val="006E47B7"/>
    <w:rsid w:val="006E6431"/>
    <w:rsid w:val="006F5837"/>
    <w:rsid w:val="006F5C38"/>
    <w:rsid w:val="006F7CC4"/>
    <w:rsid w:val="007011FB"/>
    <w:rsid w:val="00712F32"/>
    <w:rsid w:val="0072698C"/>
    <w:rsid w:val="00727817"/>
    <w:rsid w:val="00730F4B"/>
    <w:rsid w:val="00733332"/>
    <w:rsid w:val="0073794A"/>
    <w:rsid w:val="00747991"/>
    <w:rsid w:val="00750C94"/>
    <w:rsid w:val="00755BC8"/>
    <w:rsid w:val="00760596"/>
    <w:rsid w:val="00761A91"/>
    <w:rsid w:val="00773469"/>
    <w:rsid w:val="007A33D9"/>
    <w:rsid w:val="007B0325"/>
    <w:rsid w:val="007B0CD9"/>
    <w:rsid w:val="007C1975"/>
    <w:rsid w:val="007C451D"/>
    <w:rsid w:val="007C7C53"/>
    <w:rsid w:val="007D2943"/>
    <w:rsid w:val="007D49E3"/>
    <w:rsid w:val="007E1948"/>
    <w:rsid w:val="007E661E"/>
    <w:rsid w:val="0080052D"/>
    <w:rsid w:val="008015B0"/>
    <w:rsid w:val="00804D3B"/>
    <w:rsid w:val="00805A14"/>
    <w:rsid w:val="00830E45"/>
    <w:rsid w:val="0083700D"/>
    <w:rsid w:val="008414EF"/>
    <w:rsid w:val="008450B3"/>
    <w:rsid w:val="00851A1A"/>
    <w:rsid w:val="00853F2B"/>
    <w:rsid w:val="00864404"/>
    <w:rsid w:val="00874DC1"/>
    <w:rsid w:val="00887FB3"/>
    <w:rsid w:val="008D1BBA"/>
    <w:rsid w:val="008E362A"/>
    <w:rsid w:val="008E3B22"/>
    <w:rsid w:val="008E5F42"/>
    <w:rsid w:val="008E679B"/>
    <w:rsid w:val="00905135"/>
    <w:rsid w:val="009070A8"/>
    <w:rsid w:val="00910792"/>
    <w:rsid w:val="00915FA4"/>
    <w:rsid w:val="00921F58"/>
    <w:rsid w:val="009277BB"/>
    <w:rsid w:val="009336AE"/>
    <w:rsid w:val="0093759B"/>
    <w:rsid w:val="0094538F"/>
    <w:rsid w:val="009555ED"/>
    <w:rsid w:val="00961834"/>
    <w:rsid w:val="0097108E"/>
    <w:rsid w:val="00984CA2"/>
    <w:rsid w:val="0098768C"/>
    <w:rsid w:val="009A0D5C"/>
    <w:rsid w:val="009B32D6"/>
    <w:rsid w:val="009B4E58"/>
    <w:rsid w:val="009D2DDB"/>
    <w:rsid w:val="009F0328"/>
    <w:rsid w:val="009F2A1F"/>
    <w:rsid w:val="009F31EE"/>
    <w:rsid w:val="00A20C8D"/>
    <w:rsid w:val="00A25F6E"/>
    <w:rsid w:val="00A30D14"/>
    <w:rsid w:val="00A44136"/>
    <w:rsid w:val="00A51BDF"/>
    <w:rsid w:val="00A545AB"/>
    <w:rsid w:val="00A62A1C"/>
    <w:rsid w:val="00A7005E"/>
    <w:rsid w:val="00A75EB8"/>
    <w:rsid w:val="00A76684"/>
    <w:rsid w:val="00A85014"/>
    <w:rsid w:val="00A8579C"/>
    <w:rsid w:val="00A901F1"/>
    <w:rsid w:val="00A93418"/>
    <w:rsid w:val="00AB7AE9"/>
    <w:rsid w:val="00AC7276"/>
    <w:rsid w:val="00AD6C59"/>
    <w:rsid w:val="00AE1231"/>
    <w:rsid w:val="00AE2D46"/>
    <w:rsid w:val="00AE46EC"/>
    <w:rsid w:val="00AF2D82"/>
    <w:rsid w:val="00B217D0"/>
    <w:rsid w:val="00B229BF"/>
    <w:rsid w:val="00B24D5A"/>
    <w:rsid w:val="00B26810"/>
    <w:rsid w:val="00B30C5E"/>
    <w:rsid w:val="00B34D86"/>
    <w:rsid w:val="00B401BA"/>
    <w:rsid w:val="00B466B3"/>
    <w:rsid w:val="00B473AB"/>
    <w:rsid w:val="00B478F7"/>
    <w:rsid w:val="00B544D1"/>
    <w:rsid w:val="00B71507"/>
    <w:rsid w:val="00B832A2"/>
    <w:rsid w:val="00B87B89"/>
    <w:rsid w:val="00B93B9D"/>
    <w:rsid w:val="00BA4A2B"/>
    <w:rsid w:val="00BB7899"/>
    <w:rsid w:val="00BC0129"/>
    <w:rsid w:val="00BC0F3F"/>
    <w:rsid w:val="00BC1873"/>
    <w:rsid w:val="00BC371B"/>
    <w:rsid w:val="00BC53F3"/>
    <w:rsid w:val="00BD3627"/>
    <w:rsid w:val="00BF0AEA"/>
    <w:rsid w:val="00BF1387"/>
    <w:rsid w:val="00BF42B8"/>
    <w:rsid w:val="00C00C58"/>
    <w:rsid w:val="00C117A1"/>
    <w:rsid w:val="00C248D2"/>
    <w:rsid w:val="00C437D5"/>
    <w:rsid w:val="00C60826"/>
    <w:rsid w:val="00C74A2F"/>
    <w:rsid w:val="00C77998"/>
    <w:rsid w:val="00C9677E"/>
    <w:rsid w:val="00CA19A4"/>
    <w:rsid w:val="00CB4546"/>
    <w:rsid w:val="00CC4EBE"/>
    <w:rsid w:val="00CD33F5"/>
    <w:rsid w:val="00CE312B"/>
    <w:rsid w:val="00CF05EA"/>
    <w:rsid w:val="00CF31EA"/>
    <w:rsid w:val="00CF3D9F"/>
    <w:rsid w:val="00CF5E5B"/>
    <w:rsid w:val="00D05758"/>
    <w:rsid w:val="00D13148"/>
    <w:rsid w:val="00D1623A"/>
    <w:rsid w:val="00D20219"/>
    <w:rsid w:val="00D22911"/>
    <w:rsid w:val="00D24E88"/>
    <w:rsid w:val="00D325C0"/>
    <w:rsid w:val="00D3438C"/>
    <w:rsid w:val="00D431EE"/>
    <w:rsid w:val="00D4344F"/>
    <w:rsid w:val="00D51774"/>
    <w:rsid w:val="00D60530"/>
    <w:rsid w:val="00D77842"/>
    <w:rsid w:val="00D77E99"/>
    <w:rsid w:val="00D80D23"/>
    <w:rsid w:val="00D860D0"/>
    <w:rsid w:val="00D86E37"/>
    <w:rsid w:val="00D9548C"/>
    <w:rsid w:val="00DB09E8"/>
    <w:rsid w:val="00DB18ED"/>
    <w:rsid w:val="00DB4A85"/>
    <w:rsid w:val="00DC2AAB"/>
    <w:rsid w:val="00DC5B83"/>
    <w:rsid w:val="00DD0ECF"/>
    <w:rsid w:val="00DD2F6A"/>
    <w:rsid w:val="00DF62A1"/>
    <w:rsid w:val="00E07F69"/>
    <w:rsid w:val="00E32FB9"/>
    <w:rsid w:val="00E3427A"/>
    <w:rsid w:val="00E36846"/>
    <w:rsid w:val="00E478D4"/>
    <w:rsid w:val="00E564A0"/>
    <w:rsid w:val="00E67ACF"/>
    <w:rsid w:val="00E722CE"/>
    <w:rsid w:val="00E82A8A"/>
    <w:rsid w:val="00E85588"/>
    <w:rsid w:val="00E85838"/>
    <w:rsid w:val="00E940B2"/>
    <w:rsid w:val="00E975AF"/>
    <w:rsid w:val="00EA2B65"/>
    <w:rsid w:val="00EA3B6F"/>
    <w:rsid w:val="00EA551A"/>
    <w:rsid w:val="00EA769B"/>
    <w:rsid w:val="00EB43A3"/>
    <w:rsid w:val="00EC08F5"/>
    <w:rsid w:val="00EC5850"/>
    <w:rsid w:val="00ED1706"/>
    <w:rsid w:val="00ED4B86"/>
    <w:rsid w:val="00ED650A"/>
    <w:rsid w:val="00ED76CA"/>
    <w:rsid w:val="00EE73BF"/>
    <w:rsid w:val="00EF08E0"/>
    <w:rsid w:val="00EF67E1"/>
    <w:rsid w:val="00F046A9"/>
    <w:rsid w:val="00F20B4C"/>
    <w:rsid w:val="00F217CA"/>
    <w:rsid w:val="00F24BB9"/>
    <w:rsid w:val="00F3027A"/>
    <w:rsid w:val="00F3356E"/>
    <w:rsid w:val="00F374B3"/>
    <w:rsid w:val="00F40C37"/>
    <w:rsid w:val="00F41591"/>
    <w:rsid w:val="00F41E57"/>
    <w:rsid w:val="00F43380"/>
    <w:rsid w:val="00F4493B"/>
    <w:rsid w:val="00F44E1A"/>
    <w:rsid w:val="00F44E77"/>
    <w:rsid w:val="00F50E9C"/>
    <w:rsid w:val="00F52C68"/>
    <w:rsid w:val="00F5651E"/>
    <w:rsid w:val="00F60F98"/>
    <w:rsid w:val="00F66FF4"/>
    <w:rsid w:val="00F70A71"/>
    <w:rsid w:val="00F749B2"/>
    <w:rsid w:val="00F87728"/>
    <w:rsid w:val="00F90C54"/>
    <w:rsid w:val="00F95A18"/>
    <w:rsid w:val="00FA1B5A"/>
    <w:rsid w:val="00FB07E6"/>
    <w:rsid w:val="00FC05DA"/>
    <w:rsid w:val="00FC4791"/>
    <w:rsid w:val="00FC4AD6"/>
    <w:rsid w:val="00FC7535"/>
    <w:rsid w:val="00FD4EBC"/>
    <w:rsid w:val="00FD66AA"/>
    <w:rsid w:val="00FE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75E8F"/>
    <w:rPr>
      <w:color w:val="0000FF"/>
      <w:u w:val="single"/>
    </w:rPr>
  </w:style>
  <w:style w:type="paragraph" w:styleId="BalloonText">
    <w:name w:val="Balloon Text"/>
    <w:basedOn w:val="Normal"/>
    <w:semiHidden/>
    <w:locked/>
    <w:rsid w:val="00F44E77"/>
    <w:rPr>
      <w:rFonts w:ascii="Tahoma" w:hAnsi="Tahoma" w:cs="Tahoma"/>
      <w:sz w:val="16"/>
      <w:szCs w:val="16"/>
    </w:rPr>
  </w:style>
  <w:style w:type="table" w:styleId="TableGrid">
    <w:name w:val="Table Grid"/>
    <w:basedOn w:val="TableNormal"/>
    <w:locked/>
    <w:rsid w:val="00A8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7E1948"/>
    <w:pPr>
      <w:autoSpaceDE w:val="0"/>
      <w:autoSpaceDN w:val="0"/>
      <w:adjustRightInd w:val="0"/>
    </w:pPr>
    <w:rPr>
      <w:color w:val="000000"/>
      <w:sz w:val="24"/>
      <w:szCs w:val="24"/>
    </w:rPr>
  </w:style>
  <w:style w:type="character" w:styleId="FollowedHyperlink">
    <w:name w:val="FollowedHyperlink"/>
    <w:locked/>
    <w:rsid w:val="00887FB3"/>
    <w:rPr>
      <w:color w:val="606420"/>
      <w:u w:val="single"/>
    </w:rPr>
  </w:style>
  <w:style w:type="paragraph" w:customStyle="1" w:styleId="sec">
    <w:name w:val="sec"/>
    <w:basedOn w:val="Normal"/>
    <w:locked/>
    <w:rsid w:val="007A33D9"/>
    <w:pPr>
      <w:pBdr>
        <w:left w:val="single" w:sz="18" w:space="11" w:color="80161C"/>
      </w:pBdr>
      <w:spacing w:before="48" w:after="240"/>
      <w:ind w:left="480"/>
    </w:pPr>
    <w:rPr>
      <w:rFonts w:ascii="Arial" w:hAnsi="Arial" w:cs="Arial"/>
      <w:b/>
      <w:bCs/>
      <w:color w:val="80161C"/>
      <w:sz w:val="21"/>
      <w:szCs w:val="21"/>
    </w:rPr>
  </w:style>
  <w:style w:type="paragraph" w:customStyle="1" w:styleId="p0">
    <w:name w:val="p0"/>
    <w:basedOn w:val="Normal"/>
    <w:locked/>
    <w:rsid w:val="008E679B"/>
    <w:pPr>
      <w:spacing w:before="48" w:after="240"/>
      <w:ind w:left="720" w:firstLine="720"/>
    </w:pPr>
    <w:rPr>
      <w:rFonts w:ascii="Arial" w:hAnsi="Arial" w:cs="Arial"/>
      <w:color w:val="000000"/>
      <w:sz w:val="18"/>
      <w:szCs w:val="18"/>
    </w:rPr>
  </w:style>
  <w:style w:type="paragraph" w:styleId="Header">
    <w:name w:val="header"/>
    <w:basedOn w:val="Normal"/>
    <w:locked/>
    <w:rsid w:val="00755BC8"/>
    <w:pPr>
      <w:tabs>
        <w:tab w:val="center" w:pos="4320"/>
        <w:tab w:val="right" w:pos="8640"/>
      </w:tabs>
    </w:pPr>
  </w:style>
  <w:style w:type="paragraph" w:styleId="Footer">
    <w:name w:val="footer"/>
    <w:basedOn w:val="Normal"/>
    <w:locked/>
    <w:rsid w:val="00755BC8"/>
    <w:pPr>
      <w:tabs>
        <w:tab w:val="center" w:pos="4320"/>
        <w:tab w:val="right" w:pos="8640"/>
      </w:tabs>
    </w:pPr>
  </w:style>
  <w:style w:type="character" w:styleId="PageNumber">
    <w:name w:val="page number"/>
    <w:basedOn w:val="DefaultParagraphFont"/>
    <w:locked/>
    <w:rsid w:val="00755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75E8F"/>
    <w:rPr>
      <w:color w:val="0000FF"/>
      <w:u w:val="single"/>
    </w:rPr>
  </w:style>
  <w:style w:type="paragraph" w:styleId="BalloonText">
    <w:name w:val="Balloon Text"/>
    <w:basedOn w:val="Normal"/>
    <w:semiHidden/>
    <w:locked/>
    <w:rsid w:val="00F44E77"/>
    <w:rPr>
      <w:rFonts w:ascii="Tahoma" w:hAnsi="Tahoma" w:cs="Tahoma"/>
      <w:sz w:val="16"/>
      <w:szCs w:val="16"/>
    </w:rPr>
  </w:style>
  <w:style w:type="table" w:styleId="TableGrid">
    <w:name w:val="Table Grid"/>
    <w:basedOn w:val="TableNormal"/>
    <w:locked/>
    <w:rsid w:val="00A8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7E1948"/>
    <w:pPr>
      <w:autoSpaceDE w:val="0"/>
      <w:autoSpaceDN w:val="0"/>
      <w:adjustRightInd w:val="0"/>
    </w:pPr>
    <w:rPr>
      <w:color w:val="000000"/>
      <w:sz w:val="24"/>
      <w:szCs w:val="24"/>
    </w:rPr>
  </w:style>
  <w:style w:type="character" w:styleId="FollowedHyperlink">
    <w:name w:val="FollowedHyperlink"/>
    <w:locked/>
    <w:rsid w:val="00887FB3"/>
    <w:rPr>
      <w:color w:val="606420"/>
      <w:u w:val="single"/>
    </w:rPr>
  </w:style>
  <w:style w:type="paragraph" w:customStyle="1" w:styleId="sec">
    <w:name w:val="sec"/>
    <w:basedOn w:val="Normal"/>
    <w:locked/>
    <w:rsid w:val="007A33D9"/>
    <w:pPr>
      <w:pBdr>
        <w:left w:val="single" w:sz="18" w:space="11" w:color="80161C"/>
      </w:pBdr>
      <w:spacing w:before="48" w:after="240"/>
      <w:ind w:left="480"/>
    </w:pPr>
    <w:rPr>
      <w:rFonts w:ascii="Arial" w:hAnsi="Arial" w:cs="Arial"/>
      <w:b/>
      <w:bCs/>
      <w:color w:val="80161C"/>
      <w:sz w:val="21"/>
      <w:szCs w:val="21"/>
    </w:rPr>
  </w:style>
  <w:style w:type="paragraph" w:customStyle="1" w:styleId="p0">
    <w:name w:val="p0"/>
    <w:basedOn w:val="Normal"/>
    <w:locked/>
    <w:rsid w:val="008E679B"/>
    <w:pPr>
      <w:spacing w:before="48" w:after="240"/>
      <w:ind w:left="720" w:firstLine="720"/>
    </w:pPr>
    <w:rPr>
      <w:rFonts w:ascii="Arial" w:hAnsi="Arial" w:cs="Arial"/>
      <w:color w:val="000000"/>
      <w:sz w:val="18"/>
      <w:szCs w:val="18"/>
    </w:rPr>
  </w:style>
  <w:style w:type="paragraph" w:styleId="Header">
    <w:name w:val="header"/>
    <w:basedOn w:val="Normal"/>
    <w:locked/>
    <w:rsid w:val="00755BC8"/>
    <w:pPr>
      <w:tabs>
        <w:tab w:val="center" w:pos="4320"/>
        <w:tab w:val="right" w:pos="8640"/>
      </w:tabs>
    </w:pPr>
  </w:style>
  <w:style w:type="paragraph" w:styleId="Footer">
    <w:name w:val="footer"/>
    <w:basedOn w:val="Normal"/>
    <w:locked/>
    <w:rsid w:val="00755BC8"/>
    <w:pPr>
      <w:tabs>
        <w:tab w:val="center" w:pos="4320"/>
        <w:tab w:val="right" w:pos="8640"/>
      </w:tabs>
    </w:pPr>
  </w:style>
  <w:style w:type="character" w:styleId="PageNumber">
    <w:name w:val="page number"/>
    <w:basedOn w:val="DefaultParagraphFont"/>
    <w:locked/>
    <w:rsid w:val="0075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292">
      <w:bodyDiv w:val="1"/>
      <w:marLeft w:val="0"/>
      <w:marRight w:val="0"/>
      <w:marTop w:val="0"/>
      <w:marBottom w:val="0"/>
      <w:divBdr>
        <w:top w:val="none" w:sz="0" w:space="0" w:color="auto"/>
        <w:left w:val="none" w:sz="0" w:space="0" w:color="auto"/>
        <w:bottom w:val="none" w:sz="0" w:space="0" w:color="auto"/>
        <w:right w:val="none" w:sz="0" w:space="0" w:color="auto"/>
      </w:divBdr>
      <w:divsChild>
        <w:div w:id="116340300">
          <w:marLeft w:val="75"/>
          <w:marRight w:val="75"/>
          <w:marTop w:val="0"/>
          <w:marBottom w:val="0"/>
          <w:divBdr>
            <w:top w:val="single" w:sz="6" w:space="8" w:color="CCCCCC"/>
            <w:left w:val="single" w:sz="6" w:space="8" w:color="CCCCCC"/>
            <w:bottom w:val="single" w:sz="6" w:space="8" w:color="CCCCCC"/>
            <w:right w:val="single" w:sz="6" w:space="8" w:color="CCCCCC"/>
          </w:divBdr>
          <w:divsChild>
            <w:div w:id="66409529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506216442">
      <w:bodyDiv w:val="1"/>
      <w:marLeft w:val="0"/>
      <w:marRight w:val="0"/>
      <w:marTop w:val="0"/>
      <w:marBottom w:val="0"/>
      <w:divBdr>
        <w:top w:val="none" w:sz="0" w:space="0" w:color="auto"/>
        <w:left w:val="none" w:sz="0" w:space="0" w:color="auto"/>
        <w:bottom w:val="none" w:sz="0" w:space="0" w:color="auto"/>
        <w:right w:val="none" w:sz="0" w:space="0" w:color="auto"/>
      </w:divBdr>
      <w:divsChild>
        <w:div w:id="102186890">
          <w:marLeft w:val="75"/>
          <w:marRight w:val="75"/>
          <w:marTop w:val="0"/>
          <w:marBottom w:val="0"/>
          <w:divBdr>
            <w:top w:val="single" w:sz="6" w:space="8" w:color="CCCCCC"/>
            <w:left w:val="single" w:sz="6" w:space="8" w:color="CCCCCC"/>
            <w:bottom w:val="single" w:sz="6" w:space="8" w:color="CCCCCC"/>
            <w:right w:val="single" w:sz="6" w:space="8" w:color="CCCCCC"/>
          </w:divBdr>
          <w:divsChild>
            <w:div w:id="59220676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sc.ca.gov/Home/CALGreen.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ocuments.dgs.ca.gov/bsc/CALGreen/Non-Res-Comm-Guide-10-10.pdf"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cityofirvine.org/cityhall/cd/buildingsafety/formcatalog/default.as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bsc.ca.gov/Home/CALGreen.aspx" TargetMode="External"/><Relationship Id="rId5" Type="http://schemas.microsoft.com/office/2007/relationships/stylesWithEffects" Target="stylesWithEffects.xml"/><Relationship Id="rId15" Type="http://schemas.openxmlformats.org/officeDocument/2006/relationships/hyperlink" Target="http://www.cityofirvine.org" TargetMode="External"/><Relationship Id="rId10" Type="http://schemas.openxmlformats.org/officeDocument/2006/relationships/hyperlink" Target="http://www.documents.dgs.ca.gov/bsc/CALGreen/MasterCALGreenNon-ResGuide2010_2012Suppl-3rdEd_1-12.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tyofirvine.org/civica/filebank/blobdload.asp?BlobID=16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40F4-9A6C-44C5-8D9F-A8EC9955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Analysis of Early </vt:lpstr>
    </vt:vector>
  </TitlesOfParts>
  <Company>City of Irvine</Company>
  <LinksUpToDate>false</LinksUpToDate>
  <CharactersWithSpaces>17743</CharactersWithSpaces>
  <SharedDoc>false</SharedDoc>
  <HLinks>
    <vt:vector size="42" baseType="variant">
      <vt:variant>
        <vt:i4>7340080</vt:i4>
      </vt:variant>
      <vt:variant>
        <vt:i4>156</vt:i4>
      </vt:variant>
      <vt:variant>
        <vt:i4>0</vt:i4>
      </vt:variant>
      <vt:variant>
        <vt:i4>5</vt:i4>
      </vt:variant>
      <vt:variant>
        <vt:lpwstr>http://www.cityofirvine.org/cityhall/cd/buildingsafety/formcatalog/default.asp</vt:lpwstr>
      </vt:variant>
      <vt:variant>
        <vt:lpwstr/>
      </vt:variant>
      <vt:variant>
        <vt:i4>5308496</vt:i4>
      </vt:variant>
      <vt:variant>
        <vt:i4>153</vt:i4>
      </vt:variant>
      <vt:variant>
        <vt:i4>0</vt:i4>
      </vt:variant>
      <vt:variant>
        <vt:i4>5</vt:i4>
      </vt:variant>
      <vt:variant>
        <vt:lpwstr>http://www.cityofirvine.org/</vt:lpwstr>
      </vt:variant>
      <vt:variant>
        <vt:lpwstr/>
      </vt:variant>
      <vt:variant>
        <vt:i4>2424869</vt:i4>
      </vt:variant>
      <vt:variant>
        <vt:i4>150</vt:i4>
      </vt:variant>
      <vt:variant>
        <vt:i4>0</vt:i4>
      </vt:variant>
      <vt:variant>
        <vt:i4>5</vt:i4>
      </vt:variant>
      <vt:variant>
        <vt:lpwstr>http://www.cityofirvine.org/civica/filebank/blobdload.asp?BlobID=16660</vt:lpwstr>
      </vt:variant>
      <vt:variant>
        <vt:lpwstr/>
      </vt:variant>
      <vt:variant>
        <vt:i4>1048651</vt:i4>
      </vt:variant>
      <vt:variant>
        <vt:i4>125</vt:i4>
      </vt:variant>
      <vt:variant>
        <vt:i4>0</vt:i4>
      </vt:variant>
      <vt:variant>
        <vt:i4>5</vt:i4>
      </vt:variant>
      <vt:variant>
        <vt:lpwstr>http://www.bsc.ca.gov/Home/CALGreen.aspx</vt:lpwstr>
      </vt:variant>
      <vt:variant>
        <vt:lpwstr/>
      </vt:variant>
      <vt:variant>
        <vt:i4>4325445</vt:i4>
      </vt:variant>
      <vt:variant>
        <vt:i4>122</vt:i4>
      </vt:variant>
      <vt:variant>
        <vt:i4>0</vt:i4>
      </vt:variant>
      <vt:variant>
        <vt:i4>5</vt:i4>
      </vt:variant>
      <vt:variant>
        <vt:lpwstr>http://www.documents.dgs.ca.gov/bsc/CALGreen/Non-Res-Comm-Guide-10-10.pdf</vt:lpwstr>
      </vt:variant>
      <vt:variant>
        <vt:lpwstr/>
      </vt:variant>
      <vt:variant>
        <vt:i4>1048651</vt:i4>
      </vt:variant>
      <vt:variant>
        <vt:i4>105</vt:i4>
      </vt:variant>
      <vt:variant>
        <vt:i4>0</vt:i4>
      </vt:variant>
      <vt:variant>
        <vt:i4>5</vt:i4>
      </vt:variant>
      <vt:variant>
        <vt:lpwstr>http://www.bsc.ca.gov/Home/CALGreen.aspx</vt:lpwstr>
      </vt:variant>
      <vt:variant>
        <vt:lpwstr/>
      </vt:variant>
      <vt:variant>
        <vt:i4>5439561</vt:i4>
      </vt:variant>
      <vt:variant>
        <vt:i4>102</vt:i4>
      </vt:variant>
      <vt:variant>
        <vt:i4>0</vt:i4>
      </vt:variant>
      <vt:variant>
        <vt:i4>5</vt:i4>
      </vt:variant>
      <vt:variant>
        <vt:lpwstr>http://www.documents.dgs.ca.gov/bsc/CALGreen/MasterCALGreenNon-ResGuide2010_2012Suppl-3rdEd_1-12.pdf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Early </dc:title>
  <dc:subject/>
  <dc:creator>cityofirvine</dc:creator>
  <cp:keywords/>
  <cp:lastModifiedBy>Leslie Moeller</cp:lastModifiedBy>
  <cp:revision>2</cp:revision>
  <cp:lastPrinted>2012-06-16T00:38:00Z</cp:lastPrinted>
  <dcterms:created xsi:type="dcterms:W3CDTF">2014-01-06T22:46:00Z</dcterms:created>
  <dcterms:modified xsi:type="dcterms:W3CDTF">2014-01-06T22:46:00Z</dcterms:modified>
</cp:coreProperties>
</file>